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A1D092" w14:textId="77777777" w:rsidR="002B58A3" w:rsidRDefault="002B58A3" w:rsidP="004F3C2A">
      <w:pPr>
        <w:pStyle w:val="Heading1"/>
        <w:jc w:val="center"/>
        <w:rPr>
          <w:sz w:val="44"/>
          <w:szCs w:val="44"/>
        </w:rPr>
      </w:pPr>
      <w:bookmarkStart w:id="0" w:name="_Toc65243502"/>
    </w:p>
    <w:p w14:paraId="1CEBB1FB" w14:textId="77777777" w:rsidR="002B58A3" w:rsidRDefault="002B58A3" w:rsidP="004F3C2A">
      <w:pPr>
        <w:pStyle w:val="Heading1"/>
        <w:jc w:val="center"/>
        <w:rPr>
          <w:sz w:val="44"/>
          <w:szCs w:val="44"/>
        </w:rPr>
      </w:pPr>
    </w:p>
    <w:p w14:paraId="3A4A4B18" w14:textId="77777777" w:rsidR="002B58A3" w:rsidRDefault="002B58A3" w:rsidP="004F3C2A">
      <w:pPr>
        <w:pStyle w:val="Heading1"/>
        <w:jc w:val="center"/>
        <w:rPr>
          <w:sz w:val="44"/>
          <w:szCs w:val="44"/>
        </w:rPr>
      </w:pPr>
    </w:p>
    <w:p w14:paraId="6475905D" w14:textId="77777777" w:rsidR="00F2242F" w:rsidRDefault="00F2242F" w:rsidP="00F2242F"/>
    <w:p w14:paraId="04A55E8D" w14:textId="77777777" w:rsidR="00F2242F" w:rsidRDefault="00F2242F" w:rsidP="00F2242F"/>
    <w:p w14:paraId="5F645A87" w14:textId="77777777" w:rsidR="00F2242F" w:rsidRPr="00F2242F" w:rsidRDefault="00F2242F" w:rsidP="00F2242F"/>
    <w:p w14:paraId="28AB5077" w14:textId="19179F63" w:rsidR="004F3C2A" w:rsidRDefault="004F3C2A" w:rsidP="004F3C2A">
      <w:pPr>
        <w:pStyle w:val="Heading1"/>
        <w:jc w:val="center"/>
        <w:rPr>
          <w:sz w:val="52"/>
          <w:szCs w:val="52"/>
        </w:rPr>
      </w:pPr>
      <w:r w:rsidRPr="002B58A3">
        <w:rPr>
          <w:sz w:val="52"/>
          <w:szCs w:val="52"/>
        </w:rPr>
        <w:t xml:space="preserve">Office of the Director of Public </w:t>
      </w:r>
      <w:r w:rsidRPr="004F3C2A">
        <w:rPr>
          <w:sz w:val="52"/>
          <w:szCs w:val="52"/>
        </w:rPr>
        <w:t>Prosecutions</w:t>
      </w:r>
    </w:p>
    <w:p w14:paraId="02BF1838" w14:textId="77777777" w:rsidR="00F2242F" w:rsidRPr="004F3C2A" w:rsidRDefault="00F2242F" w:rsidP="00F2242F"/>
    <w:p w14:paraId="1B06269F" w14:textId="1F568019" w:rsidR="004F3C2A" w:rsidRDefault="004F3C2A" w:rsidP="004F3C2A">
      <w:pPr>
        <w:pStyle w:val="Heading1"/>
        <w:jc w:val="center"/>
        <w:rPr>
          <w:sz w:val="52"/>
          <w:szCs w:val="52"/>
        </w:rPr>
      </w:pPr>
      <w:r w:rsidRPr="004F3C2A">
        <w:rPr>
          <w:sz w:val="52"/>
          <w:szCs w:val="52"/>
        </w:rPr>
        <w:t>Entity resources and planned</w:t>
      </w:r>
      <w:r w:rsidRPr="002B58A3">
        <w:rPr>
          <w:sz w:val="52"/>
          <w:szCs w:val="52"/>
        </w:rPr>
        <w:t xml:space="preserve"> performance</w:t>
      </w:r>
    </w:p>
    <w:p w14:paraId="68D7F69A" w14:textId="77777777" w:rsidR="00F0212A" w:rsidRDefault="00F0212A" w:rsidP="007C5546">
      <w:pPr>
        <w:sectPr w:rsidR="00F0212A" w:rsidSect="00655E69">
          <w:headerReference w:type="even" r:id="rId12"/>
          <w:headerReference w:type="default" r:id="rId13"/>
          <w:footerReference w:type="even" r:id="rId14"/>
          <w:footerReference w:type="default" r:id="rId15"/>
          <w:footerReference w:type="first" r:id="rId16"/>
          <w:type w:val="oddPage"/>
          <w:pgSz w:w="11906" w:h="16838" w:code="9"/>
          <w:pgMar w:top="2722" w:right="2098" w:bottom="2381" w:left="2098" w:header="1814" w:footer="1814" w:gutter="0"/>
          <w:cols w:space="708"/>
          <w:titlePg/>
          <w:docGrid w:linePitch="360"/>
        </w:sectPr>
      </w:pPr>
    </w:p>
    <w:p w14:paraId="32763848" w14:textId="2717815C" w:rsidR="00257FF4" w:rsidRPr="00356893" w:rsidRDefault="002E092B" w:rsidP="00834F9A">
      <w:pPr>
        <w:pStyle w:val="Heading1"/>
      </w:pPr>
      <w:r w:rsidRPr="00356893">
        <w:lastRenderedPageBreak/>
        <w:t>Office of the Director of Public Prosecutions</w:t>
      </w:r>
      <w:bookmarkEnd w:id="0"/>
    </w:p>
    <w:p w14:paraId="7C59EFDB" w14:textId="77777777" w:rsidR="00257FF4" w:rsidRPr="00356893" w:rsidRDefault="00257FF4" w:rsidP="00257FF4">
      <w:pPr>
        <w:pStyle w:val="Heading2"/>
      </w:pPr>
      <w:bookmarkStart w:id="1" w:name="_Toc190682308"/>
      <w:bookmarkStart w:id="2" w:name="_Toc190682526"/>
      <w:bookmarkStart w:id="3" w:name="_Toc444523508"/>
      <w:bookmarkStart w:id="4" w:name="_Toc65243505"/>
      <w:r w:rsidRPr="00356893">
        <w:t xml:space="preserve">Section 1: </w:t>
      </w:r>
      <w:r w:rsidR="007E6BBD" w:rsidRPr="00356893">
        <w:t xml:space="preserve">Entity </w:t>
      </w:r>
      <w:r w:rsidR="00605163" w:rsidRPr="00356893">
        <w:t xml:space="preserve">overview and </w:t>
      </w:r>
      <w:r w:rsidR="006B59AD" w:rsidRPr="00356893">
        <w:t>reso</w:t>
      </w:r>
      <w:r w:rsidR="00605163" w:rsidRPr="00356893">
        <w:t>urces</w:t>
      </w:r>
      <w:bookmarkEnd w:id="1"/>
      <w:bookmarkEnd w:id="2"/>
      <w:bookmarkEnd w:id="3"/>
      <w:bookmarkEnd w:id="4"/>
    </w:p>
    <w:p w14:paraId="21538C43" w14:textId="77777777" w:rsidR="00257FF4" w:rsidRPr="00356893" w:rsidRDefault="00257FF4" w:rsidP="00257FF4">
      <w:pPr>
        <w:pStyle w:val="Heading3"/>
      </w:pPr>
      <w:bookmarkStart w:id="5" w:name="_Toc190682309"/>
      <w:bookmarkStart w:id="6" w:name="_Toc190682527"/>
      <w:bookmarkStart w:id="7" w:name="_Toc444523509"/>
      <w:bookmarkStart w:id="8" w:name="_Toc65243506"/>
      <w:r w:rsidRPr="00356893">
        <w:t>1.1</w:t>
      </w:r>
      <w:r w:rsidRPr="00356893">
        <w:tab/>
        <w:t xml:space="preserve">Strategic </w:t>
      </w:r>
      <w:r w:rsidR="00D81071" w:rsidRPr="00356893">
        <w:t>direction</w:t>
      </w:r>
      <w:bookmarkEnd w:id="5"/>
      <w:bookmarkEnd w:id="6"/>
      <w:r w:rsidR="00D81071" w:rsidRPr="00356893">
        <w:t xml:space="preserve"> </w:t>
      </w:r>
      <w:r w:rsidR="00605163" w:rsidRPr="00356893">
        <w:t>statement</w:t>
      </w:r>
      <w:bookmarkEnd w:id="7"/>
      <w:bookmarkEnd w:id="8"/>
    </w:p>
    <w:p w14:paraId="19656106" w14:textId="58171A8E" w:rsidR="002E092B" w:rsidRPr="00356893" w:rsidRDefault="002E092B" w:rsidP="00257FF4">
      <w:pPr>
        <w:pStyle w:val="Exampletext"/>
        <w:rPr>
          <w:i w:val="0"/>
          <w:color w:val="auto"/>
          <w:lang w:val="en-AU"/>
        </w:rPr>
      </w:pPr>
      <w:bookmarkStart w:id="9" w:name="_Hlk190074718"/>
      <w:r w:rsidRPr="00356893">
        <w:rPr>
          <w:i w:val="0"/>
          <w:color w:val="auto"/>
          <w:lang w:val="en-AU"/>
        </w:rPr>
        <w:t>The Office of the Director of Public Prosecutions (</w:t>
      </w:r>
      <w:r w:rsidR="006839E7" w:rsidRPr="00356893">
        <w:rPr>
          <w:i w:val="0"/>
          <w:color w:val="auto"/>
          <w:lang w:val="en-AU"/>
        </w:rPr>
        <w:t>C</w:t>
      </w:r>
      <w:r w:rsidRPr="00356893">
        <w:rPr>
          <w:i w:val="0"/>
          <w:color w:val="auto"/>
          <w:lang w:val="en-AU"/>
        </w:rPr>
        <w:t xml:space="preserve">DPP) was established under the </w:t>
      </w:r>
      <w:r w:rsidRPr="00356893">
        <w:rPr>
          <w:color w:val="auto"/>
          <w:lang w:val="en-AU"/>
        </w:rPr>
        <w:t xml:space="preserve">Director of Public Prosecutions Act 1983 </w:t>
      </w:r>
      <w:r w:rsidR="006839E7" w:rsidRPr="00356893">
        <w:rPr>
          <w:i w:val="0"/>
          <w:color w:val="auto"/>
          <w:lang w:val="en-AU"/>
        </w:rPr>
        <w:t xml:space="preserve">and sits </w:t>
      </w:r>
      <w:r w:rsidRPr="00356893">
        <w:rPr>
          <w:i w:val="0"/>
          <w:color w:val="auto"/>
          <w:lang w:val="en-AU"/>
        </w:rPr>
        <w:t xml:space="preserve">within the Attorney-General’s portfolio. The </w:t>
      </w:r>
      <w:r w:rsidR="006839E7" w:rsidRPr="00356893">
        <w:rPr>
          <w:i w:val="0"/>
          <w:color w:val="auto"/>
          <w:lang w:val="en-AU"/>
        </w:rPr>
        <w:t>C</w:t>
      </w:r>
      <w:r w:rsidRPr="00356893">
        <w:rPr>
          <w:i w:val="0"/>
          <w:color w:val="auto"/>
          <w:lang w:val="en-AU"/>
        </w:rPr>
        <w:t>DPP is headed by a Director appoint</w:t>
      </w:r>
      <w:r w:rsidR="007C5B44" w:rsidRPr="00356893">
        <w:rPr>
          <w:i w:val="0"/>
          <w:color w:val="auto"/>
          <w:lang w:val="en-AU"/>
        </w:rPr>
        <w:t>ed</w:t>
      </w:r>
      <w:r w:rsidRPr="00356893">
        <w:rPr>
          <w:i w:val="0"/>
          <w:color w:val="auto"/>
          <w:lang w:val="en-AU"/>
        </w:rPr>
        <w:t xml:space="preserve"> for </w:t>
      </w:r>
      <w:r w:rsidR="007C5B44" w:rsidRPr="00356893">
        <w:rPr>
          <w:i w:val="0"/>
          <w:color w:val="auto"/>
          <w:lang w:val="en-AU"/>
        </w:rPr>
        <w:t xml:space="preserve">a </w:t>
      </w:r>
      <w:r w:rsidRPr="00356893">
        <w:rPr>
          <w:i w:val="0"/>
          <w:color w:val="auto"/>
          <w:lang w:val="en-AU"/>
        </w:rPr>
        <w:t>statutory term of up to seven years.</w:t>
      </w:r>
    </w:p>
    <w:p w14:paraId="39B48626" w14:textId="7B2456CA" w:rsidR="002E092B" w:rsidRPr="00356893" w:rsidRDefault="002E092B" w:rsidP="5607B717">
      <w:pPr>
        <w:pStyle w:val="Exampletext"/>
        <w:rPr>
          <w:i w:val="0"/>
          <w:color w:val="auto"/>
          <w:lang w:val="en-AU"/>
        </w:rPr>
      </w:pPr>
      <w:r w:rsidRPr="5607B717">
        <w:rPr>
          <w:i w:val="0"/>
          <w:color w:val="auto"/>
          <w:lang w:val="en-AU"/>
        </w:rPr>
        <w:t xml:space="preserve">The role of the </w:t>
      </w:r>
      <w:r w:rsidR="007C5B44" w:rsidRPr="5607B717">
        <w:rPr>
          <w:i w:val="0"/>
          <w:color w:val="auto"/>
          <w:lang w:val="en-AU"/>
        </w:rPr>
        <w:t>C</w:t>
      </w:r>
      <w:r w:rsidRPr="5607B717">
        <w:rPr>
          <w:i w:val="0"/>
          <w:color w:val="auto"/>
          <w:lang w:val="en-AU"/>
        </w:rPr>
        <w:t xml:space="preserve">DPP is to prosecute offences against Commonwealth law. The </w:t>
      </w:r>
      <w:r w:rsidR="007C5B44" w:rsidRPr="5607B717">
        <w:rPr>
          <w:i w:val="0"/>
          <w:color w:val="auto"/>
          <w:lang w:val="en-AU"/>
        </w:rPr>
        <w:t>C</w:t>
      </w:r>
      <w:r w:rsidRPr="5607B717">
        <w:rPr>
          <w:i w:val="0"/>
          <w:color w:val="auto"/>
          <w:lang w:val="en-AU"/>
        </w:rPr>
        <w:t xml:space="preserve">DPP is not an investigatory </w:t>
      </w:r>
      <w:r w:rsidR="003E3E81" w:rsidRPr="5607B717">
        <w:rPr>
          <w:i w:val="0"/>
          <w:color w:val="auto"/>
          <w:lang w:val="en-AU"/>
        </w:rPr>
        <w:t xml:space="preserve">or regulatory </w:t>
      </w:r>
      <w:r w:rsidRPr="5607B717">
        <w:rPr>
          <w:i w:val="0"/>
          <w:color w:val="auto"/>
          <w:lang w:val="en-AU"/>
        </w:rPr>
        <w:t xml:space="preserve">agency. </w:t>
      </w:r>
      <w:r w:rsidR="004537D3" w:rsidRPr="5607B717">
        <w:rPr>
          <w:i w:val="0"/>
          <w:color w:val="auto"/>
          <w:lang w:val="en-AU"/>
        </w:rPr>
        <w:t>I</w:t>
      </w:r>
      <w:r w:rsidR="006B4AD6" w:rsidRPr="5607B717">
        <w:rPr>
          <w:i w:val="0"/>
          <w:color w:val="auto"/>
          <w:lang w:val="en-AU"/>
        </w:rPr>
        <w:t xml:space="preserve">t is an </w:t>
      </w:r>
      <w:r w:rsidR="2253A608" w:rsidRPr="5607B717">
        <w:rPr>
          <w:i w:val="0"/>
          <w:color w:val="auto"/>
          <w:lang w:val="en-AU"/>
        </w:rPr>
        <w:t>independent</w:t>
      </w:r>
      <w:r w:rsidR="006B4AD6" w:rsidRPr="5607B717">
        <w:rPr>
          <w:i w:val="0"/>
          <w:color w:val="auto"/>
          <w:lang w:val="en-AU"/>
        </w:rPr>
        <w:t xml:space="preserve"> legal practice that</w:t>
      </w:r>
      <w:r w:rsidRPr="5607B717">
        <w:rPr>
          <w:i w:val="0"/>
          <w:color w:val="auto"/>
          <w:lang w:val="en-AU"/>
        </w:rPr>
        <w:t xml:space="preserve"> prosecutes cases investigated by other agencies. </w:t>
      </w:r>
    </w:p>
    <w:p w14:paraId="48B9E5A7" w14:textId="628FDF2A" w:rsidR="002E092B" w:rsidRPr="002E092B" w:rsidRDefault="002E092B" w:rsidP="5607B717">
      <w:pPr>
        <w:pStyle w:val="Exampletext"/>
        <w:rPr>
          <w:i w:val="0"/>
          <w:color w:val="auto"/>
          <w:lang w:val="en-AU"/>
        </w:rPr>
      </w:pPr>
      <w:r w:rsidRPr="5607B717">
        <w:rPr>
          <w:i w:val="0"/>
          <w:color w:val="auto"/>
          <w:lang w:val="en-AU"/>
        </w:rPr>
        <w:t xml:space="preserve">The </w:t>
      </w:r>
      <w:r w:rsidR="007002C5" w:rsidRPr="5607B717">
        <w:rPr>
          <w:i w:val="0"/>
          <w:color w:val="auto"/>
          <w:lang w:val="en-AU"/>
        </w:rPr>
        <w:t>C</w:t>
      </w:r>
      <w:r w:rsidRPr="5607B717">
        <w:rPr>
          <w:i w:val="0"/>
          <w:color w:val="auto"/>
          <w:lang w:val="en-AU"/>
        </w:rPr>
        <w:t>DPP’s outcome is to contribute to a fair, safe and just society by de</w:t>
      </w:r>
      <w:r w:rsidR="7283BAB3" w:rsidRPr="5607B717">
        <w:rPr>
          <w:i w:val="0"/>
          <w:color w:val="auto"/>
          <w:lang w:val="en-AU"/>
        </w:rPr>
        <w:t xml:space="preserve">livering </w:t>
      </w:r>
      <w:r w:rsidRPr="5607B717">
        <w:rPr>
          <w:i w:val="0"/>
          <w:color w:val="auto"/>
          <w:lang w:val="en-AU"/>
        </w:rPr>
        <w:t>an effective</w:t>
      </w:r>
      <w:r w:rsidR="00445E66">
        <w:rPr>
          <w:i w:val="0"/>
          <w:color w:val="auto"/>
          <w:lang w:val="en-AU"/>
        </w:rPr>
        <w:t>,</w:t>
      </w:r>
      <w:r w:rsidRPr="5607B717">
        <w:rPr>
          <w:i w:val="0"/>
          <w:color w:val="auto"/>
          <w:lang w:val="en-AU"/>
        </w:rPr>
        <w:t xml:space="preserve"> independent prosecution service in accordance with the Prosecution Policy of the Commonwealth. </w:t>
      </w:r>
    </w:p>
    <w:p w14:paraId="61A8606E" w14:textId="77777777" w:rsidR="00257FF4" w:rsidRPr="00F0404E" w:rsidRDefault="000B36D8" w:rsidP="0079797F">
      <w:pPr>
        <w:pStyle w:val="Heading3"/>
      </w:pPr>
      <w:bookmarkStart w:id="10" w:name="_Toc190682310"/>
      <w:bookmarkStart w:id="11" w:name="_Toc190682528"/>
      <w:bookmarkEnd w:id="9"/>
      <w:r w:rsidRPr="0079797F">
        <w:br w:type="page"/>
      </w:r>
      <w:bookmarkStart w:id="12" w:name="_Toc444523510"/>
      <w:bookmarkStart w:id="13" w:name="_Toc65243507"/>
      <w:r w:rsidR="00257FF4" w:rsidRPr="00F0404E">
        <w:lastRenderedPageBreak/>
        <w:t>1.2</w:t>
      </w:r>
      <w:r w:rsidR="00257FF4" w:rsidRPr="00F0404E">
        <w:tab/>
      </w:r>
      <w:r w:rsidR="007E6BBD" w:rsidRPr="00F0404E">
        <w:t xml:space="preserve">Entity </w:t>
      </w:r>
      <w:r w:rsidR="00257FF4" w:rsidRPr="00F0404E">
        <w:t>resource statement</w:t>
      </w:r>
      <w:bookmarkEnd w:id="10"/>
      <w:bookmarkEnd w:id="11"/>
      <w:bookmarkEnd w:id="12"/>
      <w:bookmarkEnd w:id="13"/>
    </w:p>
    <w:p w14:paraId="138846D0" w14:textId="2BB870E1" w:rsidR="00E1129E" w:rsidRPr="007B0BF2" w:rsidRDefault="00257FF4" w:rsidP="00257FF4">
      <w:bookmarkStart w:id="14" w:name="OLE_LINK11"/>
      <w:bookmarkStart w:id="15" w:name="OLE_LINK12"/>
      <w:r w:rsidRPr="007B0BF2">
        <w:t xml:space="preserve">Table 1.1 shows the total </w:t>
      </w:r>
      <w:r w:rsidR="24302400" w:rsidRPr="007B0BF2">
        <w:t xml:space="preserve">resourcing </w:t>
      </w:r>
      <w:r w:rsidRPr="007B0BF2">
        <w:t>from all</w:t>
      </w:r>
      <w:r w:rsidR="00BB721D" w:rsidRPr="007B0BF2">
        <w:t xml:space="preserve"> sources</w:t>
      </w:r>
      <w:r w:rsidR="00331B40" w:rsidRPr="007B0BF2">
        <w:t xml:space="preserve"> available to the entity for its operations and to deliver </w:t>
      </w:r>
      <w:r w:rsidR="00290933" w:rsidRPr="007B0BF2">
        <w:t>programs</w:t>
      </w:r>
      <w:r w:rsidR="00331B40" w:rsidRPr="007B0BF2">
        <w:t xml:space="preserve"> and servic</w:t>
      </w:r>
      <w:r w:rsidR="00705BC0" w:rsidRPr="007B0BF2">
        <w:t>es on behalf of the G</w:t>
      </w:r>
      <w:r w:rsidR="00331B40" w:rsidRPr="007B0BF2">
        <w:t>overnment</w:t>
      </w:r>
      <w:r w:rsidR="005A7C0B" w:rsidRPr="007B0BF2">
        <w:t>.</w:t>
      </w:r>
    </w:p>
    <w:p w14:paraId="6E114DC9" w14:textId="3385F41A" w:rsidR="00257FF4" w:rsidRPr="007B0BF2" w:rsidRDefault="00257FF4" w:rsidP="00257FF4">
      <w:r w:rsidRPr="007B0BF2">
        <w:t xml:space="preserve">The table summarises how resources will be applied by outcome </w:t>
      </w:r>
      <w:r w:rsidR="00331B40" w:rsidRPr="007B0BF2">
        <w:t>(government strategic policy objectives</w:t>
      </w:r>
      <w:r w:rsidR="00E1129E" w:rsidRPr="007B0BF2">
        <w:t>)</w:t>
      </w:r>
      <w:r w:rsidR="00705BC0" w:rsidRPr="007B0BF2">
        <w:t xml:space="preserve"> </w:t>
      </w:r>
      <w:r w:rsidRPr="007B0BF2">
        <w:t xml:space="preserve">and by administered </w:t>
      </w:r>
      <w:r w:rsidR="00705BC0" w:rsidRPr="007B0BF2">
        <w:t>(on behalf of the G</w:t>
      </w:r>
      <w:r w:rsidR="00331B40" w:rsidRPr="007B0BF2">
        <w:t xml:space="preserve">overnment or the public) </w:t>
      </w:r>
      <w:r w:rsidRPr="007B0BF2">
        <w:t xml:space="preserve">and departmental </w:t>
      </w:r>
      <w:r w:rsidR="00331B40" w:rsidRPr="007B0BF2">
        <w:t>(for the entity</w:t>
      </w:r>
      <w:r w:rsidR="00AF213C" w:rsidRPr="007B0BF2">
        <w:t>’</w:t>
      </w:r>
      <w:r w:rsidR="00331B40" w:rsidRPr="007B0BF2">
        <w:t xml:space="preserve">s operations) </w:t>
      </w:r>
      <w:r w:rsidRPr="007B0BF2">
        <w:t>classification.</w:t>
      </w:r>
    </w:p>
    <w:p w14:paraId="6C150220" w14:textId="20068AC3" w:rsidR="006976AD" w:rsidRDefault="00645E69" w:rsidP="006976AD">
      <w:r w:rsidRPr="007B0BF2">
        <w:t>Information in this table is presented on a resourcing (</w:t>
      </w:r>
      <w:r w:rsidR="005A7C0B" w:rsidRPr="007B0BF2">
        <w:t>that is,</w:t>
      </w:r>
      <w:r w:rsidRPr="007B0BF2">
        <w:t xml:space="preserve"> </w:t>
      </w:r>
      <w:r w:rsidR="00061FD8" w:rsidRPr="007B0BF2">
        <w:t>appropriations/cash</w:t>
      </w:r>
      <w:r w:rsidR="00565C77" w:rsidRPr="007B0BF2">
        <w:t xml:space="preserve"> available</w:t>
      </w:r>
      <w:r w:rsidRPr="007B0BF2">
        <w:t xml:space="preserve">) basis, whilst the </w:t>
      </w:r>
      <w:r w:rsidR="00AF213C" w:rsidRPr="007B0BF2">
        <w:t>‘</w:t>
      </w:r>
      <w:r w:rsidR="00E1129E" w:rsidRPr="007B0BF2">
        <w:t xml:space="preserve">Budgeted expenses by </w:t>
      </w:r>
      <w:r w:rsidR="00E7371B" w:rsidRPr="007B0BF2">
        <w:t>Outcome</w:t>
      </w:r>
      <w:r w:rsidR="00AF213C" w:rsidRPr="007B0BF2">
        <w:t>’</w:t>
      </w:r>
      <w:r w:rsidR="00E7371B" w:rsidRPr="007B0BF2">
        <w:t xml:space="preserve"> </w:t>
      </w:r>
      <w:r w:rsidRPr="007B0BF2">
        <w:t>tables in Section 2 and the financial statements in Section 3 are</w:t>
      </w:r>
      <w:r w:rsidR="00831489" w:rsidRPr="007B0BF2">
        <w:t xml:space="preserve"> presented on an accrual basis.</w:t>
      </w:r>
      <w:r w:rsidR="406357B5" w:rsidRPr="007B0BF2">
        <w:t xml:space="preserve"> Amounts presented below are consistent with amounts presented in the Appropriation Bills </w:t>
      </w:r>
      <w:r w:rsidR="406357B5" w:rsidRPr="008C2472">
        <w:t>themselves.</w:t>
      </w:r>
      <w:bookmarkEnd w:id="14"/>
      <w:bookmarkEnd w:id="15"/>
    </w:p>
    <w:p w14:paraId="058BB0E8" w14:textId="767E732A" w:rsidR="00F83EBC" w:rsidRPr="00223847" w:rsidRDefault="00741BF8" w:rsidP="00356893">
      <w:pPr>
        <w:pStyle w:val="TableHeading"/>
      </w:pPr>
      <w:r w:rsidRPr="007B0BF2">
        <w:t xml:space="preserve">Table 1.1: </w:t>
      </w:r>
      <w:r w:rsidR="002E092B" w:rsidRPr="007B0BF2">
        <w:rPr>
          <w:bCs/>
        </w:rPr>
        <w:t>Office of the Director of Public Prosecutions</w:t>
      </w:r>
      <w:r w:rsidRPr="007B0BF2">
        <w:t xml:space="preserve"> resource statement</w:t>
      </w:r>
      <w:r w:rsidR="00AF213C" w:rsidRPr="007B0BF2">
        <w:t xml:space="preserve"> – </w:t>
      </w:r>
      <w:r w:rsidR="0066176D" w:rsidRPr="007B0BF2">
        <w:t xml:space="preserve">Budget estimates for </w:t>
      </w:r>
      <w:r w:rsidR="00C651E4" w:rsidRPr="007B0BF2">
        <w:t>20</w:t>
      </w:r>
      <w:r w:rsidR="00EE2C12" w:rsidRPr="007B0BF2">
        <w:t>2</w:t>
      </w:r>
      <w:r w:rsidR="00C651E4" w:rsidRPr="007B0BF2">
        <w:t>5</w:t>
      </w:r>
      <w:r w:rsidR="002A5227" w:rsidRPr="007B0BF2">
        <w:t>–</w:t>
      </w:r>
      <w:r w:rsidR="00C651E4" w:rsidRPr="007B0BF2">
        <w:t>26</w:t>
      </w:r>
      <w:r w:rsidR="00400A8B" w:rsidRPr="007B0BF2">
        <w:t xml:space="preserve"> </w:t>
      </w:r>
      <w:r w:rsidRPr="007B0BF2">
        <w:t>as at</w:t>
      </w:r>
      <w:r w:rsidR="00B47998" w:rsidRPr="007B0BF2">
        <w:t xml:space="preserve"> </w:t>
      </w:r>
      <w:r w:rsidRPr="007B0BF2">
        <w:t xml:space="preserve">Budget </w:t>
      </w:r>
      <w:r w:rsidR="00C651E4" w:rsidRPr="007B0BF2">
        <w:t>March 2025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5338"/>
        <w:gridCol w:w="1186"/>
        <w:gridCol w:w="1186"/>
      </w:tblGrid>
      <w:tr w:rsidR="00470B8C" w:rsidRPr="00470B8C" w14:paraId="57080D11" w14:textId="77777777" w:rsidTr="00687AE9">
        <w:trPr>
          <w:trHeight w:val="387"/>
        </w:trPr>
        <w:tc>
          <w:tcPr>
            <w:tcW w:w="5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9CB8E8D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12860A8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2024–25 Estimated actual</w:t>
            </w: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br/>
              <w:t>$'000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6510F807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2025–26 Estimate</w:t>
            </w: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br/>
            </w: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br/>
              <w:t>$'000</w:t>
            </w:r>
          </w:p>
        </w:tc>
      </w:tr>
      <w:tr w:rsidR="00470B8C" w:rsidRPr="00470B8C" w14:paraId="259C2EE7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AEA2DEC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Departmental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4F0B464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11452B56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70B8C" w:rsidRPr="00470B8C" w14:paraId="26526315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3C01148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Annual appropriations - ordinary annual services (a)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A63EE4B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56B985E4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70B8C" w:rsidRPr="00470B8C" w14:paraId="3F5AA35B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1AFDBA5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    Prior year appropriations available (b)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28A1991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33,758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5703943C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33,758 </w:t>
            </w:r>
          </w:p>
        </w:tc>
      </w:tr>
      <w:tr w:rsidR="00470B8C" w:rsidRPr="00470B8C" w14:paraId="06829AC8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339A092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    Departmental appropriation (c)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4D1B198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130,837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1B96E2AC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128,254 </w:t>
            </w:r>
          </w:p>
        </w:tc>
      </w:tr>
      <w:tr w:rsidR="00470B8C" w:rsidRPr="00470B8C" w14:paraId="5F63A31C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B78AA45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    s74 External Revenue (d)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F28FB13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13,267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2234D1DC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11,020 </w:t>
            </w:r>
          </w:p>
        </w:tc>
      </w:tr>
      <w:tr w:rsidR="00470B8C" w:rsidRPr="00470B8C" w14:paraId="168D11BE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C75603D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    Departmental capital budget (e)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DF9A954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1,970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3DE1B297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1,993 </w:t>
            </w:r>
          </w:p>
        </w:tc>
      </w:tr>
      <w:tr w:rsidR="00470B8C" w:rsidRPr="00470B8C" w14:paraId="659E09A9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CEE530E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Annual appropriations - other services - non-operating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DF5204C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5FE4BFC6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70B8C" w:rsidRPr="00470B8C" w14:paraId="6FD7ED84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AE58676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    Prior year appropriations available (f)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264568D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2,200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6E593876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2,200 </w:t>
            </w:r>
          </w:p>
        </w:tc>
      </w:tr>
      <w:tr w:rsidR="00470B8C" w:rsidRPr="00470B8C" w14:paraId="166A7BDD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9BFDB76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Total departmental annual appropriations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053171B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182,032 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6EAA4D75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177,225 </w:t>
            </w:r>
          </w:p>
        </w:tc>
      </w:tr>
      <w:tr w:rsidR="00470B8C" w:rsidRPr="00470B8C" w14:paraId="4EE2B7E3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E1E9897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departmental resourcing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46D0A163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182,032 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4CCC2636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177,225 </w:t>
            </w:r>
          </w:p>
        </w:tc>
      </w:tr>
      <w:tr w:rsidR="00470B8C" w:rsidRPr="00470B8C" w14:paraId="4625B7F3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6AB56A3C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Administered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CB979C8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0281BC69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70B8C" w:rsidRPr="00470B8C" w14:paraId="38A737DC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00EBAC6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Annual appropriations - ordinary annual services (a)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40201213" w14:textId="0C417040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29623C12" w14:textId="3B347AFD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</w:tr>
      <w:tr w:rsidR="00470B8C" w:rsidRPr="00470B8C" w14:paraId="4D7575BF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216CB0B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    Outcome 1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F78097D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7B10C57E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3,072 </w:t>
            </w:r>
          </w:p>
        </w:tc>
      </w:tr>
      <w:tr w:rsidR="00470B8C" w:rsidRPr="00470B8C" w14:paraId="5FF8E387" w14:textId="77777777" w:rsidTr="00687AE9">
        <w:trPr>
          <w:trHeight w:val="244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2E330DB5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administered resourcing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77A1B31D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116161FD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3,072 </w:t>
            </w:r>
          </w:p>
        </w:tc>
      </w:tr>
      <w:tr w:rsidR="00470B8C" w:rsidRPr="00470B8C" w14:paraId="08E3118B" w14:textId="77777777" w:rsidTr="006A4DCC">
        <w:trPr>
          <w:trHeight w:val="450"/>
        </w:trPr>
        <w:tc>
          <w:tcPr>
            <w:tcW w:w="5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6A3D89DB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resourcing for the Office of the Director of Public Prosecutions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bottom"/>
            <w:hideMark/>
          </w:tcPr>
          <w:p w14:paraId="55DE9244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185,032 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vAlign w:val="bottom"/>
            <w:hideMark/>
          </w:tcPr>
          <w:p w14:paraId="569E1045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180,297 </w:t>
            </w:r>
          </w:p>
        </w:tc>
      </w:tr>
      <w:tr w:rsidR="00470B8C" w:rsidRPr="00470B8C" w14:paraId="47802805" w14:textId="77777777" w:rsidTr="00687AE9">
        <w:trPr>
          <w:trHeight w:val="83"/>
        </w:trPr>
        <w:tc>
          <w:tcPr>
            <w:tcW w:w="5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A24B93F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3DE35EC2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56B70D25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</w:tr>
      <w:tr w:rsidR="00470B8C" w:rsidRPr="00470B8C" w14:paraId="16C95D74" w14:textId="77777777" w:rsidTr="00687AE9">
        <w:trPr>
          <w:trHeight w:val="64"/>
        </w:trPr>
        <w:tc>
          <w:tcPr>
            <w:tcW w:w="5220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A8C3105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F414132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2024–25</w:t>
            </w:r>
          </w:p>
        </w:tc>
        <w:tc>
          <w:tcPr>
            <w:tcW w:w="116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556ECD5D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>2025–26</w:t>
            </w:r>
          </w:p>
        </w:tc>
      </w:tr>
      <w:tr w:rsidR="00470B8C" w:rsidRPr="00470B8C" w14:paraId="1D5F416D" w14:textId="77777777" w:rsidTr="00687AE9">
        <w:trPr>
          <w:trHeight w:val="225"/>
        </w:trPr>
        <w:tc>
          <w:tcPr>
            <w:tcW w:w="522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4612D780" w14:textId="77777777" w:rsidR="00470B8C" w:rsidRPr="00470B8C" w:rsidRDefault="00470B8C" w:rsidP="00943251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Average staffing level (number)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FFFFFF"/>
            <w:vAlign w:val="center"/>
            <w:hideMark/>
          </w:tcPr>
          <w:p w14:paraId="5BE2115B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i/>
                <w:iCs/>
                <w:color w:val="000000"/>
                <w:sz w:val="16"/>
                <w:szCs w:val="16"/>
              </w:rPr>
              <w:t xml:space="preserve">517 </w:t>
            </w:r>
          </w:p>
        </w:tc>
        <w:tc>
          <w:tcPr>
            <w:tcW w:w="116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0AC0B152" w14:textId="77777777" w:rsidR="00470B8C" w:rsidRPr="00470B8C" w:rsidRDefault="00470B8C" w:rsidP="00943251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470B8C">
              <w:rPr>
                <w:rFonts w:ascii="Arial" w:hAnsi="Arial" w:cs="Arial"/>
                <w:color w:val="000000"/>
                <w:sz w:val="16"/>
                <w:szCs w:val="16"/>
              </w:rPr>
              <w:t xml:space="preserve">526 </w:t>
            </w:r>
          </w:p>
        </w:tc>
      </w:tr>
    </w:tbl>
    <w:p w14:paraId="5C95AA75" w14:textId="39A03BC7" w:rsidR="00CB2844" w:rsidRDefault="00CB2844" w:rsidP="00CB2844">
      <w:pPr>
        <w:pStyle w:val="ChartandTableFootnote"/>
      </w:pPr>
      <w:bookmarkStart w:id="16" w:name="_Toc190682311"/>
      <w:bookmarkStart w:id="17" w:name="_Toc190682529"/>
      <w:r w:rsidRPr="00A84C18">
        <w:t>All figures shown above are GST exclusive</w:t>
      </w:r>
      <w:r w:rsidR="00AF213C" w:rsidRPr="00A84C18">
        <w:t xml:space="preserve"> – </w:t>
      </w:r>
      <w:r w:rsidRPr="00A84C18">
        <w:t>these may not match figures in the cash flow statement.</w:t>
      </w:r>
    </w:p>
    <w:p w14:paraId="075DC232" w14:textId="6C0C86D6" w:rsidR="005E146E" w:rsidRPr="005E146E" w:rsidRDefault="005E146E" w:rsidP="005E146E">
      <w:pPr>
        <w:pStyle w:val="ChartandTableFootnote"/>
      </w:pPr>
      <w:r w:rsidRPr="00A84C18">
        <w:t>Prepared on a resourcing (</w:t>
      </w:r>
      <w:r>
        <w:t>i.e.</w:t>
      </w:r>
      <w:r w:rsidRPr="00A84C18">
        <w:t xml:space="preserve"> appropriations available) basis. </w:t>
      </w:r>
    </w:p>
    <w:p w14:paraId="7D1E9C5D" w14:textId="097F571E" w:rsidR="00CB2844" w:rsidRPr="00A84C18" w:rsidRDefault="00B173B0" w:rsidP="008813D4">
      <w:pPr>
        <w:pStyle w:val="ChartandTableFootnoteAlpha"/>
      </w:pPr>
      <w:r w:rsidRPr="00A84C18">
        <w:t>Appropriation Bill (No. 1) 2025</w:t>
      </w:r>
      <w:r w:rsidR="00725ADA" w:rsidRPr="00A84C18">
        <w:t>–</w:t>
      </w:r>
      <w:r w:rsidRPr="00A84C18">
        <w:t>2026</w:t>
      </w:r>
      <w:r w:rsidR="00A84C18" w:rsidRPr="00A84C18">
        <w:t xml:space="preserve"> and Supply Bill (No. 1) 2025–2026</w:t>
      </w:r>
      <w:r w:rsidRPr="00A84C18">
        <w:t>.</w:t>
      </w:r>
    </w:p>
    <w:p w14:paraId="1A618BCE" w14:textId="10F5089D" w:rsidR="00CB2844" w:rsidRPr="00A84C18" w:rsidRDefault="00CB2844" w:rsidP="009763C1">
      <w:pPr>
        <w:pStyle w:val="ChartandTableFootnoteAlpha"/>
      </w:pPr>
      <w:r w:rsidRPr="00A84C18">
        <w:t>Excludes $</w:t>
      </w:r>
      <w:r w:rsidR="00CB1DC3" w:rsidRPr="00A84C18">
        <w:t>2.55</w:t>
      </w:r>
      <w:r w:rsidRPr="00A84C18">
        <w:t xml:space="preserve">m withheld under section 51 of the </w:t>
      </w:r>
      <w:r w:rsidRPr="00A84C18">
        <w:rPr>
          <w:i/>
          <w:iCs/>
        </w:rPr>
        <w:t>Public Governance, Performance and Accountability Act 2013</w:t>
      </w:r>
      <w:r w:rsidRPr="00A84C18">
        <w:t xml:space="preserve"> (PGPA Act)</w:t>
      </w:r>
      <w:r w:rsidR="00093D79" w:rsidRPr="00A84C18">
        <w:t>.</w:t>
      </w:r>
    </w:p>
    <w:p w14:paraId="2B3D2698" w14:textId="77777777" w:rsidR="00CB2844" w:rsidRPr="00A84C18" w:rsidRDefault="00CB2844" w:rsidP="009763C1">
      <w:pPr>
        <w:pStyle w:val="ChartandTableFootnoteAlpha"/>
      </w:pPr>
      <w:r w:rsidRPr="00A84C18">
        <w:t>Excludes departmental capital budget (DCB).</w:t>
      </w:r>
    </w:p>
    <w:p w14:paraId="63FE5701" w14:textId="77777777" w:rsidR="00CB2844" w:rsidRPr="00A84C18" w:rsidRDefault="00CB2844" w:rsidP="009763C1">
      <w:pPr>
        <w:pStyle w:val="ChartandTableFootnoteAlpha"/>
      </w:pPr>
      <w:r w:rsidRPr="00A84C18">
        <w:t>Estimated External Revenue receipts under section 74 of the PGPA Act.</w:t>
      </w:r>
    </w:p>
    <w:p w14:paraId="2F5CADA3" w14:textId="7AD0DD5E" w:rsidR="00CB2844" w:rsidRPr="00A84C18" w:rsidRDefault="00B00AFE" w:rsidP="009763C1">
      <w:pPr>
        <w:pStyle w:val="ChartandTableFootnoteAlpha"/>
      </w:pPr>
      <w:r>
        <w:t>C</w:t>
      </w:r>
      <w:r w:rsidR="00CB2844" w:rsidRPr="00A84C18">
        <w:t>apital budgets are not separately identified in Appropriation Bill (No.</w:t>
      </w:r>
      <w:r w:rsidR="00601972">
        <w:t xml:space="preserve"> </w:t>
      </w:r>
      <w:r w:rsidR="00CB2844" w:rsidRPr="00A84C18">
        <w:t>1)</w:t>
      </w:r>
      <w:r w:rsidR="001B4F81">
        <w:t xml:space="preserve"> and </w:t>
      </w:r>
      <w:r w:rsidR="001B4F81" w:rsidRPr="00A84C18">
        <w:t xml:space="preserve">Supply Bill (No. 1) </w:t>
      </w:r>
      <w:r w:rsidR="00CB2844" w:rsidRPr="00A84C18">
        <w:t>and form part of ordinary annual services items. Please refer to Table 3.5 for further details</w:t>
      </w:r>
      <w:r w:rsidR="00410DAE">
        <w:t xml:space="preserve"> on capital budgets</w:t>
      </w:r>
      <w:r w:rsidR="00CB2844" w:rsidRPr="00A84C18">
        <w:t xml:space="preserve">. For accounting purposes, </w:t>
      </w:r>
      <w:r w:rsidR="007659EC">
        <w:t>capital budget appropriations have</w:t>
      </w:r>
      <w:r w:rsidR="00CB2844" w:rsidRPr="00A84C18">
        <w:t xml:space="preserve"> been designated as a </w:t>
      </w:r>
      <w:r w:rsidR="00AF213C" w:rsidRPr="00A84C18">
        <w:t>‘</w:t>
      </w:r>
      <w:r w:rsidR="00CB2844" w:rsidRPr="00A84C18">
        <w:t>contribution by owner</w:t>
      </w:r>
      <w:r w:rsidR="00AF213C" w:rsidRPr="00A84C18">
        <w:t>’</w:t>
      </w:r>
      <w:r w:rsidR="00CB2844" w:rsidRPr="00A84C18">
        <w:t>.</w:t>
      </w:r>
    </w:p>
    <w:p w14:paraId="2B958DCF" w14:textId="701FDBFB" w:rsidR="00CB2844" w:rsidRPr="00A84C18" w:rsidRDefault="00A17941" w:rsidP="009763C1">
      <w:pPr>
        <w:pStyle w:val="ChartandTableFootnoteAlpha"/>
      </w:pPr>
      <w:r w:rsidRPr="00A84C18">
        <w:t>Excludes $4.38m withheld under section 51 of the PGPA Act.</w:t>
      </w:r>
    </w:p>
    <w:p w14:paraId="5435E3E8" w14:textId="77777777" w:rsidR="0008449F" w:rsidRPr="005A7C0B" w:rsidRDefault="00E06F9F" w:rsidP="00AD42E2">
      <w:pPr>
        <w:pStyle w:val="Heading3"/>
        <w:spacing w:before="0"/>
      </w:pPr>
      <w:r>
        <w:br w:type="page"/>
      </w:r>
      <w:bookmarkStart w:id="18" w:name="_Toc444523511"/>
      <w:bookmarkStart w:id="19" w:name="_Toc65243508"/>
      <w:r w:rsidR="0008449F" w:rsidRPr="005A7C0B">
        <w:lastRenderedPageBreak/>
        <w:t>1.3</w:t>
      </w:r>
      <w:r w:rsidR="0008449F" w:rsidRPr="005A7C0B">
        <w:tab/>
        <w:t>Budget measures</w:t>
      </w:r>
      <w:bookmarkEnd w:id="16"/>
      <w:bookmarkEnd w:id="17"/>
      <w:bookmarkEnd w:id="18"/>
      <w:bookmarkEnd w:id="19"/>
    </w:p>
    <w:p w14:paraId="327526E1" w14:textId="43DB0D22" w:rsidR="00F20B6E" w:rsidRPr="00E12110" w:rsidRDefault="00DC32EC" w:rsidP="0008449F">
      <w:r w:rsidRPr="006F4317">
        <w:t xml:space="preserve">Budget measures </w:t>
      </w:r>
      <w:r w:rsidR="005C4BEE" w:rsidRPr="006F4317">
        <w:t xml:space="preserve">in Part 1 </w:t>
      </w:r>
      <w:r w:rsidRPr="006F4317">
        <w:t>relating to</w:t>
      </w:r>
      <w:r w:rsidR="001B03CC" w:rsidRPr="006F4317">
        <w:t xml:space="preserve"> </w:t>
      </w:r>
      <w:r w:rsidR="00D3146B" w:rsidRPr="006F4317">
        <w:t>the C</w:t>
      </w:r>
      <w:r w:rsidR="002E092B" w:rsidRPr="006F4317">
        <w:t>DPP</w:t>
      </w:r>
      <w:r w:rsidRPr="006F4317">
        <w:t xml:space="preserve"> a</w:t>
      </w:r>
      <w:r w:rsidR="00CB4589" w:rsidRPr="006F4317">
        <w:t xml:space="preserve">re detailed in </w:t>
      </w:r>
      <w:r w:rsidR="00B47998" w:rsidRPr="006F4317">
        <w:t xml:space="preserve">the </w:t>
      </w:r>
      <w:r w:rsidR="00CB4589" w:rsidRPr="006F4317">
        <w:t>Budget Paper No. </w:t>
      </w:r>
      <w:r w:rsidRPr="006F4317">
        <w:t>2</w:t>
      </w:r>
      <w:r w:rsidR="00C2641F" w:rsidRPr="006F4317">
        <w:t xml:space="preserve"> and </w:t>
      </w:r>
      <w:r w:rsidR="00C2641F" w:rsidRPr="00E12110">
        <w:t xml:space="preserve">are summarised </w:t>
      </w:r>
      <w:r w:rsidR="002C7703" w:rsidRPr="00E12110">
        <w:t>below</w:t>
      </w:r>
      <w:r w:rsidR="003D4188" w:rsidRPr="00E12110">
        <w:t>.</w:t>
      </w:r>
    </w:p>
    <w:p w14:paraId="53615948" w14:textId="083A1C5A" w:rsidR="00AF3811" w:rsidRPr="00E12110" w:rsidRDefault="00AF3811" w:rsidP="00E5444F">
      <w:pPr>
        <w:pStyle w:val="TableHeading"/>
      </w:pPr>
      <w:r w:rsidRPr="00E12110">
        <w:t xml:space="preserve">Table 1.2: </w:t>
      </w:r>
      <w:r w:rsidR="00DA03AC">
        <w:t>CDPP</w:t>
      </w:r>
      <w:r w:rsidR="00B47998" w:rsidRPr="00E12110">
        <w:t xml:space="preserve"> </w:t>
      </w:r>
      <w:r w:rsidR="00EE2C12" w:rsidRPr="00E12110">
        <w:t>2025</w:t>
      </w:r>
      <w:r w:rsidR="00EC33E6" w:rsidRPr="00E12110">
        <w:t>–</w:t>
      </w:r>
      <w:r w:rsidR="00EE2C12" w:rsidRPr="00E12110">
        <w:t xml:space="preserve">26 </w:t>
      </w:r>
      <w:r w:rsidRPr="00E12110">
        <w:t>Budget measures</w:t>
      </w:r>
    </w:p>
    <w:p w14:paraId="7DBF627E" w14:textId="6D6D3CB1" w:rsidR="00687AE9" w:rsidRPr="009E33A6" w:rsidRDefault="00C65397" w:rsidP="009E33A6">
      <w:pPr>
        <w:pStyle w:val="TableHeading"/>
        <w:rPr>
          <w:bCs/>
        </w:rPr>
      </w:pPr>
      <w:r w:rsidRPr="00410DAE">
        <w:rPr>
          <w:bCs/>
        </w:rPr>
        <w:t xml:space="preserve">Part 1: </w:t>
      </w:r>
      <w:r w:rsidR="007F6CAD" w:rsidRPr="00410DAE">
        <w:rPr>
          <w:bCs/>
        </w:rPr>
        <w:t xml:space="preserve">Measures announced </w:t>
      </w:r>
      <w:r w:rsidR="00FC6CF3" w:rsidRPr="00410DAE">
        <w:rPr>
          <w:bCs/>
        </w:rPr>
        <w:t xml:space="preserve">since </w:t>
      </w:r>
      <w:r w:rsidR="007F6CAD" w:rsidRPr="00410DAE">
        <w:rPr>
          <w:bCs/>
        </w:rPr>
        <w:t xml:space="preserve">the </w:t>
      </w:r>
      <w:r w:rsidR="00EE2C12" w:rsidRPr="00410DAE">
        <w:rPr>
          <w:bCs/>
        </w:rPr>
        <w:t>2024</w:t>
      </w:r>
      <w:r w:rsidR="00EC33E6" w:rsidRPr="00410DAE">
        <w:rPr>
          <w:bCs/>
        </w:rPr>
        <w:t>–</w:t>
      </w:r>
      <w:r w:rsidR="00EE2C12" w:rsidRPr="00410DAE">
        <w:rPr>
          <w:bCs/>
        </w:rPr>
        <w:t>2</w:t>
      </w:r>
      <w:r w:rsidR="00310E28" w:rsidRPr="00410DAE">
        <w:rPr>
          <w:bCs/>
        </w:rPr>
        <w:t>5</w:t>
      </w:r>
      <w:r w:rsidR="00EE2C12" w:rsidRPr="00410DAE">
        <w:rPr>
          <w:bCs/>
        </w:rPr>
        <w:t xml:space="preserve"> </w:t>
      </w:r>
      <w:r w:rsidR="0022230C" w:rsidRPr="00410DAE">
        <w:rPr>
          <w:bCs/>
        </w:rPr>
        <w:t>Mid-Year Economic and Fiscal Outlook (MYEFO)</w:t>
      </w:r>
      <w:r w:rsidR="00422CB4" w:rsidRPr="00410DAE">
        <w:rPr>
          <w:bCs/>
        </w:rPr>
        <w:fldChar w:fldCharType="begin" w:fldLock="1"/>
      </w:r>
      <w:r w:rsidR="00422CB4" w:rsidRPr="00410DAE">
        <w:rPr>
          <w:bCs/>
        </w:rPr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1.2!R3C1:R21C7" \a \f 4 \h </w:instrText>
      </w:r>
      <w:r w:rsidR="009A0BFF" w:rsidRPr="00410DAE">
        <w:rPr>
          <w:bCs/>
        </w:rPr>
        <w:instrText xml:space="preserve"> \* MERGEFORMAT </w:instrText>
      </w:r>
      <w:r w:rsidR="00422CB4" w:rsidRPr="00410DAE">
        <w:rPr>
          <w:bCs/>
        </w:rPr>
        <w:fldChar w:fldCharType="end"/>
      </w:r>
      <w:r w:rsidR="00687AE9">
        <w:rPr>
          <w:rFonts w:ascii="Book Antiqua" w:hAnsi="Book Antiqua"/>
          <w:noProof/>
          <w:sz w:val="19"/>
        </w:rPr>
        <w:fldChar w:fldCharType="begin"/>
      </w:r>
      <w:r w:rsidR="00687AE9">
        <w:rPr>
          <w:noProof/>
        </w:rPr>
        <w:instrText xml:space="preserve"> LINK Excel.Sheet.12 "https://cdpp.sharepoint.com/sites/FMGTeam-ExternalBudget/Shared Documents/2025-26 Budget/2025-26 Portfolio Budget Statements Excel Tables.xlsx" "Table 1.2 !R3C1:R19C7" \a \f 4 \h </w:instrText>
      </w:r>
      <w:r w:rsidR="00163627">
        <w:rPr>
          <w:noProof/>
        </w:rPr>
        <w:instrText xml:space="preserve"> \* MERGEFORMAT </w:instrText>
      </w:r>
      <w:r w:rsidR="00687AE9">
        <w:rPr>
          <w:rFonts w:ascii="Book Antiqua" w:hAnsi="Book Antiqua"/>
          <w:noProof/>
          <w:sz w:val="19"/>
        </w:rPr>
        <w:fldChar w:fldCharType="separate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506"/>
        <w:gridCol w:w="886"/>
        <w:gridCol w:w="861"/>
        <w:gridCol w:w="865"/>
        <w:gridCol w:w="865"/>
        <w:gridCol w:w="862"/>
        <w:gridCol w:w="865"/>
      </w:tblGrid>
      <w:tr w:rsidR="00655E69" w:rsidRPr="00687AE9" w14:paraId="59F579BB" w14:textId="77777777" w:rsidTr="00687AE9">
        <w:trPr>
          <w:trHeight w:val="450"/>
        </w:trPr>
        <w:tc>
          <w:tcPr>
            <w:tcW w:w="24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776111" w14:textId="4750B1BC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D3B080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Program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77270AEB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2024–25</w:t>
            </w:r>
            <w:r w:rsidRPr="00687AE9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FDAD348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2025–26</w:t>
            </w:r>
            <w:r w:rsidRPr="00687AE9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78E83902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2026–27</w:t>
            </w:r>
            <w:r w:rsidRPr="00687AE9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FE00958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2027–28</w:t>
            </w:r>
            <w:r w:rsidRPr="00687AE9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50D36C7B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2028–29</w:t>
            </w:r>
            <w:r w:rsidRPr="00687AE9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655E69" w:rsidRPr="00687AE9" w14:paraId="4198E9D0" w14:textId="77777777" w:rsidTr="00687AE9">
        <w:trPr>
          <w:trHeight w:val="24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4BECFA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Payment measures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CEF7D5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F066506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E44F7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2886A88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6BC317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F282178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655E69" w:rsidRPr="00687AE9" w14:paraId="36938214" w14:textId="77777777" w:rsidTr="00687AE9">
        <w:trPr>
          <w:trHeight w:val="7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4E95B9" w14:textId="0F76C2AE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Attorney-General's Portfolio - additional resourcing  (</w:t>
            </w:r>
            <w:r w:rsidR="00976D9C" w:rsidRPr="00BB3D68">
              <w:rPr>
                <w:rFonts w:ascii="Arial" w:hAnsi="Arial" w:cs="Arial"/>
                <w:sz w:val="16"/>
                <w:szCs w:val="16"/>
              </w:rPr>
              <w:t>a</w:t>
            </w:r>
            <w:r w:rsidRPr="00687AE9"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2A6C9" w14:textId="77777777" w:rsidR="00687AE9" w:rsidRPr="00687AE9" w:rsidRDefault="00687AE9" w:rsidP="00D22E26">
            <w:pPr>
              <w:spacing w:before="20" w:after="2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1.1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B5538ED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58FA6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C14ABF2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5382F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91931AC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</w:tr>
      <w:tr w:rsidR="00655E69" w:rsidRPr="00687AE9" w14:paraId="106033A0" w14:textId="77777777" w:rsidTr="00687AE9">
        <w:trPr>
          <w:trHeight w:val="7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F21700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Departmental payment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693DC2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572FE64" w14:textId="4223F4B6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95FDAC" w14:textId="26C4E56F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3,471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03183ED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9F1022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F3ADDE9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  <w:tr w:rsidR="00655E69" w:rsidRPr="00687AE9" w14:paraId="6AA4C680" w14:textId="77777777" w:rsidTr="006A4DCC">
        <w:trPr>
          <w:trHeight w:val="7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A93DE4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Total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B83994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E85D63B" w14:textId="4BA05ACF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786BC0" w14:textId="2231CDAA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3,471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9CA882E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727F9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E255E70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  <w:tr w:rsidR="00655E69" w:rsidRPr="00687AE9" w14:paraId="07018CCA" w14:textId="77777777" w:rsidTr="00D22E26">
        <w:trPr>
          <w:trHeight w:val="382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601835" w14:textId="2AD5C7DB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Illicit Tobacco Compliance and Enforcement Package - directed and targeted enforcement to counter profits from illicit tobacco (</w:t>
            </w:r>
            <w:r w:rsidR="00976D9C" w:rsidRPr="00BB3D68">
              <w:rPr>
                <w:rFonts w:ascii="Arial" w:hAnsi="Arial" w:cs="Arial"/>
                <w:sz w:val="16"/>
                <w:szCs w:val="16"/>
              </w:rPr>
              <w:t>b</w:t>
            </w:r>
            <w:r w:rsidRPr="00687AE9"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8D7ED2" w14:textId="77777777" w:rsidR="00687AE9" w:rsidRPr="00687AE9" w:rsidRDefault="00687AE9" w:rsidP="00D22E26">
            <w:pPr>
              <w:spacing w:before="20" w:after="2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1.1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A4728C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39EF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B25AF84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CB0942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B2F0C8E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655E69" w:rsidRPr="00687AE9" w14:paraId="6EB879E5" w14:textId="77777777" w:rsidTr="00687AE9">
        <w:trPr>
          <w:trHeight w:val="259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82D5C2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Departmental payment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4F4C0A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425104C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EF0667" w14:textId="1BED397B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2,249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8D5929B" w14:textId="7A10BF14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2,287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66217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D1DE3CA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</w:tr>
      <w:tr w:rsidR="00655E69" w:rsidRPr="00687AE9" w14:paraId="768706B1" w14:textId="77777777" w:rsidTr="00687AE9">
        <w:trPr>
          <w:trHeight w:val="282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294B44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Total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3939F4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3714611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99E0C1" w14:textId="30CCDB9A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2,249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9501924" w14:textId="2A9B48C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2,287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1496E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DCAC226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  <w:tr w:rsidR="00655E69" w:rsidRPr="00687AE9" w14:paraId="2C2CFA3C" w14:textId="77777777" w:rsidTr="00D22E26">
        <w:trPr>
          <w:trHeight w:val="7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189ACE" w14:textId="5F0AED7C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Savings from External Labour - further extension (</w:t>
            </w:r>
            <w:r w:rsidR="00976D9C" w:rsidRPr="00BB3D68">
              <w:rPr>
                <w:rFonts w:ascii="Arial" w:hAnsi="Arial" w:cs="Arial"/>
                <w:sz w:val="16"/>
                <w:szCs w:val="16"/>
              </w:rPr>
              <w:t>c</w:t>
            </w:r>
            <w:r w:rsidRPr="00687AE9"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796E6" w14:textId="77777777" w:rsidR="00687AE9" w:rsidRPr="00687AE9" w:rsidRDefault="00687AE9" w:rsidP="00D22E26">
            <w:pPr>
              <w:spacing w:before="20" w:after="2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1.1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464A2AA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C1149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13F0372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42786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81D03F1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</w:tr>
      <w:tr w:rsidR="00655E69" w:rsidRPr="00687AE9" w14:paraId="444A19EC" w14:textId="77777777" w:rsidTr="00687AE9">
        <w:trPr>
          <w:trHeight w:val="259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88A6CA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Departmental payment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7368CE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B885D01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64FC14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22769E6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6863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427573A" w14:textId="364CF00A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(1,711)</w:t>
            </w:r>
          </w:p>
        </w:tc>
      </w:tr>
      <w:tr w:rsidR="00655E69" w:rsidRPr="00687AE9" w14:paraId="1B9A944F" w14:textId="77777777" w:rsidTr="00687AE9">
        <w:trPr>
          <w:trHeight w:val="282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14202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Total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DE2750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496E0B6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3765E2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74C58AF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F2F34A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16C1CD3" w14:textId="275EA9F0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(1,711)</w:t>
            </w:r>
          </w:p>
        </w:tc>
      </w:tr>
      <w:tr w:rsidR="00655E69" w:rsidRPr="00687AE9" w14:paraId="2882A356" w14:textId="77777777" w:rsidTr="00D22E26">
        <w:trPr>
          <w:trHeight w:val="7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386362" w14:textId="0A5045E2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Supporting Border Security (</w:t>
            </w:r>
            <w:r w:rsidR="00976D9C" w:rsidRPr="00BB3D68">
              <w:rPr>
                <w:rFonts w:ascii="Arial" w:hAnsi="Arial" w:cs="Arial"/>
                <w:sz w:val="16"/>
                <w:szCs w:val="16"/>
              </w:rPr>
              <w:t>d</w:t>
            </w:r>
            <w:r w:rsidRPr="00687AE9">
              <w:rPr>
                <w:rFonts w:ascii="Arial" w:hAnsi="Arial" w:cs="Arial"/>
                <w:sz w:val="16"/>
                <w:szCs w:val="16"/>
              </w:rPr>
              <w:t xml:space="preserve">)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49616B" w14:textId="77777777" w:rsidR="00687AE9" w:rsidRPr="00687AE9" w:rsidRDefault="00687AE9" w:rsidP="00D22E26">
            <w:pPr>
              <w:spacing w:before="20" w:after="2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1.1</w:t>
            </w: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42B364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CD93DC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1AE51DD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875731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E28A659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655E69" w:rsidRPr="00687AE9" w14:paraId="32EFE67C" w14:textId="77777777" w:rsidTr="00687AE9">
        <w:trPr>
          <w:trHeight w:val="259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C0EF96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Departmental payment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B42310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3B1E0EB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E9BD9" w14:textId="184F7492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4,114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D7D8CB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8BAA10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D07E52D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</w:tr>
      <w:tr w:rsidR="00655E69" w:rsidRPr="00687AE9" w14:paraId="564B2068" w14:textId="77777777" w:rsidTr="00687AE9">
        <w:trPr>
          <w:trHeight w:val="282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69F5B2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Total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036E8D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2B4FC9A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4B7092" w14:textId="17FE0EFB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4,114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D2A559A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22B02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9CC1B95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  <w:tr w:rsidR="00655E69" w:rsidRPr="00687AE9" w14:paraId="7681C07A" w14:textId="77777777" w:rsidTr="00687AE9">
        <w:trPr>
          <w:trHeight w:val="24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272A99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Total payment measures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9E9E0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3AE1C5A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828AB3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00FE559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E4585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61DF660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655E69" w:rsidRPr="00687AE9" w14:paraId="030BA0E7" w14:textId="77777777" w:rsidTr="00CD4107">
        <w:trPr>
          <w:trHeight w:val="259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C1EF0B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>Departmental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FC7A66" w14:textId="77777777" w:rsidR="00687AE9" w:rsidRPr="00687AE9" w:rsidRDefault="00687AE9" w:rsidP="00D22E2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6CF06921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FDFB2A" w14:textId="12105955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9,834 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739974EA" w14:textId="5875FE05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2,287 </w:t>
            </w: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271C1C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46E359D" w14:textId="68E3D28A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87AE9">
              <w:rPr>
                <w:rFonts w:ascii="Arial" w:hAnsi="Arial" w:cs="Arial"/>
                <w:sz w:val="16"/>
                <w:szCs w:val="16"/>
              </w:rPr>
              <w:t xml:space="preserve">  (1,711)</w:t>
            </w:r>
          </w:p>
        </w:tc>
      </w:tr>
      <w:tr w:rsidR="00655E69" w:rsidRPr="00687AE9" w14:paraId="6E21661C" w14:textId="77777777" w:rsidTr="00CD4107">
        <w:trPr>
          <w:trHeight w:val="282"/>
        </w:trPr>
        <w:tc>
          <w:tcPr>
            <w:tcW w:w="24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02881BA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05A52C" w14:textId="77777777" w:rsidR="00687AE9" w:rsidRPr="00687AE9" w:rsidRDefault="00687AE9" w:rsidP="00D22E2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C9E696B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3EFEF2" w14:textId="3AF5F59E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9,834 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1FC751EC" w14:textId="7814F0DD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2,287 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9E9391" w14:textId="77777777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2A8FEA6F" w14:textId="3EA3EF46" w:rsidR="00687AE9" w:rsidRPr="00687AE9" w:rsidRDefault="00687AE9" w:rsidP="00D22E2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87AE9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(1,711)</w:t>
            </w:r>
          </w:p>
        </w:tc>
      </w:tr>
    </w:tbl>
    <w:p w14:paraId="07262A95" w14:textId="6FFEF032" w:rsidR="00D06688" w:rsidRPr="00E12110" w:rsidRDefault="00687AE9" w:rsidP="00144F36">
      <w:pPr>
        <w:pStyle w:val="ChartandTableFootnote"/>
      </w:pPr>
      <w:r>
        <w:rPr>
          <w:noProof/>
        </w:rPr>
        <w:fldChar w:fldCharType="end"/>
      </w:r>
      <w:r w:rsidR="00704BB6" w:rsidRPr="00E12110">
        <w:t>Prepared on a Government Finance Statistics (Underlying Cash) basis. Figures displayed as a negative (</w:t>
      </w:r>
      <w:r w:rsidR="00261DED">
        <w:t>x</w:t>
      </w:r>
      <w:r w:rsidR="00704BB6" w:rsidRPr="00E12110">
        <w:t>) represent a decrease in funds.</w:t>
      </w:r>
    </w:p>
    <w:p w14:paraId="5EE036AF" w14:textId="77777777" w:rsidR="00972B50" w:rsidRPr="00E12110" w:rsidRDefault="00972B50" w:rsidP="00972B50">
      <w:pPr>
        <w:pStyle w:val="ChartandTableFootnoteAlpha"/>
        <w:numPr>
          <w:ilvl w:val="0"/>
          <w:numId w:val="45"/>
        </w:numPr>
      </w:pPr>
      <w:r w:rsidRPr="00E12110">
        <w:t xml:space="preserve">The lead entity for the </w:t>
      </w:r>
      <w:r w:rsidRPr="00972B50">
        <w:rPr>
          <w:i/>
          <w:iCs/>
        </w:rPr>
        <w:t>Attorney-General's Portfolio - additional resourcing</w:t>
      </w:r>
      <w:r w:rsidRPr="00E12110">
        <w:t xml:space="preserve"> measure is the</w:t>
      </w:r>
      <w:r>
        <w:t xml:space="preserve"> Attorney</w:t>
      </w:r>
      <w:r>
        <w:noBreakHyphen/>
        <w:t>General’s</w:t>
      </w:r>
      <w:r w:rsidRPr="00E12110">
        <w:t xml:space="preserve"> Department. The full measure description and package details appear in the Budget Paper No. 2 under the Attorney-General's portfolio.</w:t>
      </w:r>
    </w:p>
    <w:p w14:paraId="53153275" w14:textId="6F60BA7E" w:rsidR="00972B50" w:rsidRDefault="00283D4F" w:rsidP="00972B50">
      <w:pPr>
        <w:pStyle w:val="ChartandTableFootnoteAlpha"/>
        <w:numPr>
          <w:ilvl w:val="0"/>
          <w:numId w:val="45"/>
        </w:numPr>
      </w:pPr>
      <w:r w:rsidRPr="005A182C">
        <w:t xml:space="preserve">The full measure description </w:t>
      </w:r>
      <w:r w:rsidR="00972B50" w:rsidRPr="005A182C">
        <w:t xml:space="preserve">for </w:t>
      </w:r>
      <w:r w:rsidR="00972B50" w:rsidRPr="00972B50">
        <w:rPr>
          <w:i/>
          <w:iCs/>
        </w:rPr>
        <w:t>Illicit Tobacco Compliance and Enforcement Package - directed and targeted enforcement to counter profits from illicit tobacco</w:t>
      </w:r>
      <w:r w:rsidR="00972B50" w:rsidRPr="005A182C">
        <w:t xml:space="preserve"> appear</w:t>
      </w:r>
      <w:r w:rsidR="00760775">
        <w:t>s</w:t>
      </w:r>
      <w:r w:rsidR="00972B50" w:rsidRPr="005A182C">
        <w:t xml:space="preserve"> in the Budget Paper No. 2 under </w:t>
      </w:r>
      <w:r w:rsidR="00760775">
        <w:t>cross</w:t>
      </w:r>
      <w:r w:rsidR="00972B50" w:rsidRPr="005A182C">
        <w:t xml:space="preserve"> portfolio.</w:t>
      </w:r>
    </w:p>
    <w:p w14:paraId="362D77DD" w14:textId="7DEACCE9" w:rsidR="00972B50" w:rsidRDefault="00972B50" w:rsidP="00356893">
      <w:pPr>
        <w:pStyle w:val="ChartandTableFootnoteAlpha"/>
        <w:numPr>
          <w:ilvl w:val="0"/>
          <w:numId w:val="45"/>
        </w:numPr>
      </w:pPr>
      <w:r w:rsidRPr="005A182C">
        <w:t xml:space="preserve">The full measure description for </w:t>
      </w:r>
      <w:r w:rsidRPr="00964823">
        <w:rPr>
          <w:i/>
          <w:iCs/>
        </w:rPr>
        <w:t xml:space="preserve">Savings from External Labour – </w:t>
      </w:r>
      <w:r>
        <w:rPr>
          <w:i/>
          <w:iCs/>
        </w:rPr>
        <w:t xml:space="preserve">further </w:t>
      </w:r>
      <w:r w:rsidRPr="00964823">
        <w:rPr>
          <w:i/>
          <w:iCs/>
        </w:rPr>
        <w:t>extension</w:t>
      </w:r>
      <w:r w:rsidRPr="005A182C">
        <w:t xml:space="preserve"> </w:t>
      </w:r>
      <w:r>
        <w:t xml:space="preserve">measure </w:t>
      </w:r>
      <w:r w:rsidRPr="005A182C">
        <w:t xml:space="preserve">appears in Budget Paper No. 2 under </w:t>
      </w:r>
      <w:r w:rsidR="00825245">
        <w:t>c</w:t>
      </w:r>
      <w:r w:rsidRPr="005A182C">
        <w:t xml:space="preserve">ross </w:t>
      </w:r>
      <w:r w:rsidR="00825245">
        <w:t>p</w:t>
      </w:r>
      <w:r w:rsidRPr="005A182C">
        <w:t>ortfolio.</w:t>
      </w:r>
    </w:p>
    <w:p w14:paraId="2C53C606" w14:textId="127C2F7B" w:rsidR="00C65397" w:rsidRPr="00964823" w:rsidRDefault="00EC3436" w:rsidP="000229B2">
      <w:pPr>
        <w:pStyle w:val="ChartandTableFootnoteAlpha"/>
        <w:numPr>
          <w:ilvl w:val="0"/>
          <w:numId w:val="45"/>
        </w:numPr>
      </w:pPr>
      <w:r w:rsidRPr="00E12110">
        <w:t xml:space="preserve">The lead entity for the </w:t>
      </w:r>
      <w:r w:rsidR="00341BEF" w:rsidRPr="00972B50">
        <w:rPr>
          <w:i/>
          <w:iCs/>
        </w:rPr>
        <w:t>Supporting Border Security</w:t>
      </w:r>
      <w:r w:rsidRPr="00E12110">
        <w:t xml:space="preserve"> measure is the Department of Home Affairs. The full measure description and package details appear in the Budget Paper No. 2 under the Home Affairs portfolio.</w:t>
      </w:r>
      <w:r w:rsidR="00C65397" w:rsidRPr="005A182C">
        <w:br w:type="page"/>
      </w:r>
    </w:p>
    <w:p w14:paraId="4E809760" w14:textId="725258FD" w:rsidR="00422CB4" w:rsidRPr="004141EC" w:rsidRDefault="00C65397" w:rsidP="00422CB4">
      <w:pPr>
        <w:pStyle w:val="TableHeadingcontinued"/>
      </w:pPr>
      <w:r w:rsidRPr="005A182C">
        <w:rPr>
          <w:b w:val="0"/>
        </w:rPr>
        <w:lastRenderedPageBreak/>
        <w:t>P</w:t>
      </w:r>
      <w:r w:rsidRPr="004141EC">
        <w:t>art 2: Other measures not previously reported in a portfolio statement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506"/>
        <w:gridCol w:w="886"/>
        <w:gridCol w:w="862"/>
        <w:gridCol w:w="865"/>
        <w:gridCol w:w="865"/>
        <w:gridCol w:w="863"/>
        <w:gridCol w:w="863"/>
      </w:tblGrid>
      <w:tr w:rsidR="00776014" w:rsidRPr="00776014" w14:paraId="21898A85" w14:textId="77777777" w:rsidTr="00776014">
        <w:trPr>
          <w:trHeight w:val="465"/>
        </w:trPr>
        <w:tc>
          <w:tcPr>
            <w:tcW w:w="24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71B5FC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5F73AA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Program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3AE528E9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2024–25</w:t>
            </w:r>
            <w:r w:rsidRPr="00776014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45F38B5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2025–26</w:t>
            </w:r>
            <w:r w:rsidRPr="00776014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540F24DC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2026–27</w:t>
            </w:r>
            <w:r w:rsidRPr="00776014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05F319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2027–28</w:t>
            </w:r>
            <w:r w:rsidRPr="00776014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534BE47E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2028–29</w:t>
            </w:r>
            <w:r w:rsidRPr="00776014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776014" w:rsidRPr="00776014" w14:paraId="0EA283EA" w14:textId="77777777" w:rsidTr="00776014">
        <w:trPr>
          <w:trHeight w:val="24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93D481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Measures (if applicable)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4C1795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03163E1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183C9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DB96FB7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F9413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0E07984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776014" w:rsidRPr="00776014" w14:paraId="57A7AD0A" w14:textId="77777777" w:rsidTr="00776014">
        <w:trPr>
          <w:trHeight w:val="450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AB5C03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Vaping Regulation Reform Package (a)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F594D0" w14:textId="77777777" w:rsidR="00776014" w:rsidRPr="00776014" w:rsidRDefault="00776014" w:rsidP="00776014">
            <w:pPr>
              <w:spacing w:before="20" w:after="2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1.1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35AD278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491671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4EEC685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428B26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EE0F870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776014" w:rsidRPr="00776014" w14:paraId="248667B8" w14:textId="77777777" w:rsidTr="00776014">
        <w:trPr>
          <w:trHeight w:val="7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A635FE" w14:textId="77777777" w:rsidR="00776014" w:rsidRPr="00776014" w:rsidRDefault="00776014" w:rsidP="00776014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Departmental payment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72378D" w14:textId="77777777" w:rsidR="00776014" w:rsidRPr="00776014" w:rsidRDefault="00776014" w:rsidP="00776014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5C9F3BD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98797E" w14:textId="73E0EBA9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1,087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779BCD3" w14:textId="63A714E1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1,414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DD3A0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8BC8D52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</w:tr>
      <w:tr w:rsidR="00776014" w:rsidRPr="00776014" w14:paraId="0D60B7C3" w14:textId="77777777" w:rsidTr="00776014">
        <w:trPr>
          <w:trHeight w:val="21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45CB05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Total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8A5C1A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1FC30C1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E737C0" w14:textId="2AE8A803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1,087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B52A036" w14:textId="7A5E14D3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1,414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D8FAD3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E1B6E3B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  <w:tr w:rsidR="00776014" w:rsidRPr="00776014" w14:paraId="762282F8" w14:textId="77777777" w:rsidTr="00776014">
        <w:trPr>
          <w:trHeight w:val="248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765DA6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Strengthening Australia’s Arrangements for High Risk Terrorist Offenders – continuation (b)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390C8" w14:textId="77777777" w:rsidR="00776014" w:rsidRPr="00776014" w:rsidRDefault="00776014" w:rsidP="00776014">
            <w:pPr>
              <w:spacing w:before="20" w:after="2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1.1</w:t>
            </w: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8061C94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831E07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A23B839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5F600F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0F51B3C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776014" w:rsidRPr="00776014" w14:paraId="4B88517A" w14:textId="77777777" w:rsidTr="00776014">
        <w:trPr>
          <w:trHeight w:val="21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074A73" w14:textId="77777777" w:rsidR="00776014" w:rsidRPr="00776014" w:rsidRDefault="00776014" w:rsidP="00776014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Departmental payment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BFD60D" w14:textId="77777777" w:rsidR="00776014" w:rsidRPr="00776014" w:rsidRDefault="00776014" w:rsidP="00776014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1837403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064EE8" w14:textId="3B52446D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139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C0E26D9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F52362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85B2432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</w:tr>
      <w:tr w:rsidR="00776014" w:rsidRPr="00776014" w14:paraId="121C735D" w14:textId="77777777" w:rsidTr="00776014">
        <w:trPr>
          <w:trHeight w:val="21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AAA1D1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Total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0EA95C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58437D7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5F120B" w14:textId="3161FABC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139 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643E8CC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468172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9E0DA1E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  <w:tr w:rsidR="00776014" w:rsidRPr="00776014" w14:paraId="548A6C5D" w14:textId="77777777" w:rsidTr="00776014">
        <w:trPr>
          <w:trHeight w:val="21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826EAE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Total measures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DCF661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DE4DA08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8D22DF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5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47FA72B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3CF483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53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D7D21E7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</w:tr>
      <w:tr w:rsidR="00655E69" w:rsidRPr="00776014" w14:paraId="586F5913" w14:textId="77777777" w:rsidTr="00CD4107">
        <w:trPr>
          <w:trHeight w:val="214"/>
        </w:trPr>
        <w:tc>
          <w:tcPr>
            <w:tcW w:w="24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6C16A2" w14:textId="77777777" w:rsidR="00776014" w:rsidRPr="00776014" w:rsidRDefault="00776014" w:rsidP="00776014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>Departmental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D1F71" w14:textId="77777777" w:rsidR="00776014" w:rsidRPr="00776014" w:rsidRDefault="00776014" w:rsidP="00776014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5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0A9BFCAF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3975C1" w14:textId="3BAAEB3E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1,226 </w:t>
            </w:r>
          </w:p>
        </w:tc>
        <w:tc>
          <w:tcPr>
            <w:tcW w:w="85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40673F16" w14:textId="1A77FBDC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1,414 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EBFDE4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1F77F7EF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776014">
              <w:rPr>
                <w:rFonts w:ascii="Arial" w:hAnsi="Arial" w:cs="Arial"/>
                <w:sz w:val="16"/>
                <w:szCs w:val="16"/>
              </w:rPr>
              <w:t xml:space="preserve">             -   </w:t>
            </w:r>
          </w:p>
        </w:tc>
      </w:tr>
      <w:tr w:rsidR="00655E69" w:rsidRPr="00776014" w14:paraId="7B04564D" w14:textId="77777777" w:rsidTr="00CD4107">
        <w:trPr>
          <w:trHeight w:val="214"/>
        </w:trPr>
        <w:tc>
          <w:tcPr>
            <w:tcW w:w="24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B91228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FA63B8" w14:textId="77777777" w:rsidR="00776014" w:rsidRPr="00776014" w:rsidRDefault="00776014" w:rsidP="0077601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5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0D065DB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5E05E7F" w14:textId="59A97F76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1,226 </w:t>
            </w:r>
          </w:p>
        </w:tc>
        <w:tc>
          <w:tcPr>
            <w:tcW w:w="85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4B96031B" w14:textId="0FABA8C4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1,414 </w:t>
            </w:r>
          </w:p>
        </w:tc>
        <w:tc>
          <w:tcPr>
            <w:tcW w:w="8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01FBE6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  <w:tc>
          <w:tcPr>
            <w:tcW w:w="85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48297F45" w14:textId="77777777" w:rsidR="00776014" w:rsidRPr="00776014" w:rsidRDefault="00776014" w:rsidP="0077601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776014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             -   </w:t>
            </w:r>
          </w:p>
        </w:tc>
      </w:tr>
    </w:tbl>
    <w:p w14:paraId="47DC6203" w14:textId="3B3E0A7F" w:rsidR="00C65397" w:rsidRPr="004141EC" w:rsidRDefault="00C65397" w:rsidP="0089074D">
      <w:pPr>
        <w:pStyle w:val="TableGraphic"/>
        <w:rPr>
          <w:rFonts w:ascii="Arial" w:hAnsi="Arial"/>
          <w:color w:val="000000"/>
          <w:sz w:val="16"/>
          <w:lang w:val="x-none" w:eastAsia="x-none"/>
        </w:rPr>
      </w:pPr>
      <w:r w:rsidRPr="004141EC">
        <w:rPr>
          <w:rFonts w:ascii="Arial" w:hAnsi="Arial"/>
          <w:color w:val="000000"/>
          <w:sz w:val="16"/>
          <w:lang w:val="x-none" w:eastAsia="x-none"/>
        </w:rPr>
        <w:t>Prepared on a Government Finance Statistics (Underlying Cash) basis. Figures displayed as a negative (</w:t>
      </w:r>
      <w:r w:rsidR="00261DED">
        <w:rPr>
          <w:rFonts w:ascii="Arial" w:hAnsi="Arial"/>
          <w:color w:val="000000"/>
          <w:sz w:val="16"/>
          <w:lang w:val="x-none" w:eastAsia="x-none"/>
        </w:rPr>
        <w:t>x</w:t>
      </w:r>
      <w:r w:rsidRPr="004141EC">
        <w:rPr>
          <w:rFonts w:ascii="Arial" w:hAnsi="Arial"/>
          <w:color w:val="000000"/>
          <w:sz w:val="16"/>
          <w:lang w:val="x-none" w:eastAsia="x-none"/>
        </w:rPr>
        <w:t>) represent a decrease in funds.</w:t>
      </w:r>
    </w:p>
    <w:p w14:paraId="5B41B932" w14:textId="3DA819B9" w:rsidR="00D43067" w:rsidRPr="004141EC" w:rsidRDefault="00D43067" w:rsidP="00D43067">
      <w:pPr>
        <w:pStyle w:val="ChartandTableFootnoteAlpha"/>
        <w:numPr>
          <w:ilvl w:val="0"/>
          <w:numId w:val="18"/>
        </w:numPr>
      </w:pPr>
      <w:r w:rsidRPr="004141EC">
        <w:t xml:space="preserve">The lead entity for the </w:t>
      </w:r>
      <w:r w:rsidRPr="004141EC">
        <w:rPr>
          <w:i/>
          <w:iCs/>
        </w:rPr>
        <w:t>Vaping Regulation Reform Package</w:t>
      </w:r>
      <w:r w:rsidRPr="004141EC">
        <w:t xml:space="preserve"> measure is the Department of Health. The full measure description and package details appear in the 2024–25</w:t>
      </w:r>
      <w:r w:rsidR="00BB3D68">
        <w:t xml:space="preserve"> Mid-Year Economic and Fiscal Outlook</w:t>
      </w:r>
      <w:r w:rsidRPr="004141EC">
        <w:t xml:space="preserve"> </w:t>
      </w:r>
      <w:r w:rsidR="00BB3D68">
        <w:t>(</w:t>
      </w:r>
      <w:r w:rsidRPr="004141EC">
        <w:t>MYEFO</w:t>
      </w:r>
      <w:r w:rsidR="00BB3D68">
        <w:t>)</w:t>
      </w:r>
      <w:r w:rsidRPr="004141EC">
        <w:t xml:space="preserve"> under the Health portfolio.</w:t>
      </w:r>
    </w:p>
    <w:p w14:paraId="036A8C2F" w14:textId="38484EE4" w:rsidR="00D43067" w:rsidRPr="004141EC" w:rsidRDefault="00D43067" w:rsidP="00D43067">
      <w:pPr>
        <w:pStyle w:val="ChartandTableFootnoteAlpha"/>
        <w:numPr>
          <w:ilvl w:val="0"/>
          <w:numId w:val="18"/>
        </w:numPr>
      </w:pPr>
      <w:r w:rsidRPr="004141EC">
        <w:t xml:space="preserve">The lead entity for the </w:t>
      </w:r>
      <w:r w:rsidRPr="004141EC">
        <w:rPr>
          <w:i/>
          <w:iCs/>
        </w:rPr>
        <w:t xml:space="preserve">Strengthening Australia's Arrangements for High Risk Terrorist Offenders - continuation </w:t>
      </w:r>
      <w:r w:rsidRPr="004141EC">
        <w:t xml:space="preserve">measure is the Attorney-General's Department. The full measure description and package details appear in the 2024–25 MYEFO under the </w:t>
      </w:r>
      <w:r w:rsidR="00F872F4">
        <w:t>Attorney-General’s</w:t>
      </w:r>
      <w:r w:rsidRPr="004141EC">
        <w:t xml:space="preserve"> portfolio.</w:t>
      </w:r>
    </w:p>
    <w:p w14:paraId="2210A553" w14:textId="77777777" w:rsidR="00BE7D58" w:rsidRPr="00612948" w:rsidRDefault="0049212C" w:rsidP="00356893">
      <w:pPr>
        <w:pStyle w:val="Heading2"/>
        <w:spacing w:before="0"/>
      </w:pPr>
      <w:bookmarkStart w:id="20" w:name="_Toc190682312"/>
      <w:bookmarkStart w:id="21" w:name="_Toc190682530"/>
      <w:r>
        <w:br w:type="page"/>
      </w:r>
      <w:bookmarkStart w:id="22" w:name="_Toc444523512"/>
      <w:bookmarkStart w:id="23" w:name="_Toc65243509"/>
      <w:r w:rsidR="00BE7D58" w:rsidRPr="00612948">
        <w:lastRenderedPageBreak/>
        <w:t xml:space="preserve">Section 2: Outcomes and </w:t>
      </w:r>
      <w:r w:rsidR="00CD3382" w:rsidRPr="00612948">
        <w:t>p</w:t>
      </w:r>
      <w:r w:rsidR="0069466B" w:rsidRPr="00612948">
        <w:t>lanned</w:t>
      </w:r>
      <w:r w:rsidR="00BE7D58" w:rsidRPr="00612948">
        <w:t xml:space="preserve"> performance</w:t>
      </w:r>
      <w:bookmarkEnd w:id="22"/>
      <w:bookmarkEnd w:id="23"/>
    </w:p>
    <w:p w14:paraId="73A3148D" w14:textId="77777777" w:rsidR="00BE7D58" w:rsidRPr="00612948" w:rsidRDefault="00BE7D58" w:rsidP="00BE7D58">
      <w:r w:rsidRPr="00612948">
        <w:t xml:space="preserve">Government outcomes are the intended results, impacts or consequences of actions by the Government on the Australian community. </w:t>
      </w:r>
      <w:r w:rsidR="004E62E4" w:rsidRPr="00612948">
        <w:t xml:space="preserve">Commonwealth </w:t>
      </w:r>
      <w:r w:rsidR="00290933" w:rsidRPr="00612948">
        <w:t>programs</w:t>
      </w:r>
      <w:r w:rsidR="004E62E4" w:rsidRPr="00612948">
        <w:t xml:space="preserve"> are </w:t>
      </w:r>
      <w:r w:rsidR="00CC5AB0" w:rsidRPr="00612948">
        <w:t xml:space="preserve">the primary vehicle </w:t>
      </w:r>
      <w:r w:rsidR="004E62E4" w:rsidRPr="00612948">
        <w:t xml:space="preserve">by which </w:t>
      </w:r>
      <w:r w:rsidR="00A239CC" w:rsidRPr="00612948">
        <w:t xml:space="preserve">government </w:t>
      </w:r>
      <w:r w:rsidR="007E6BBD" w:rsidRPr="00612948">
        <w:t xml:space="preserve">entities </w:t>
      </w:r>
      <w:r w:rsidR="004E62E4" w:rsidRPr="00612948">
        <w:t xml:space="preserve">achieve the intended results of their outcome statements. </w:t>
      </w:r>
      <w:r w:rsidR="007E6BBD" w:rsidRPr="00612948">
        <w:t xml:space="preserve">Entities </w:t>
      </w:r>
      <w:r w:rsidRPr="00612948">
        <w:t xml:space="preserve">are required to identify the </w:t>
      </w:r>
      <w:r w:rsidR="00290933" w:rsidRPr="00612948">
        <w:t>programs</w:t>
      </w:r>
      <w:r w:rsidRPr="00612948">
        <w:t xml:space="preserve"> which contribute to </w:t>
      </w:r>
      <w:r w:rsidR="00A239CC" w:rsidRPr="00612948">
        <w:t xml:space="preserve">government </w:t>
      </w:r>
      <w:r w:rsidRPr="00612948">
        <w:t>outcomes over the Budget and forward years.</w:t>
      </w:r>
    </w:p>
    <w:p w14:paraId="5258564A" w14:textId="18FE3CAC" w:rsidR="00A61BD0" w:rsidRPr="00612948" w:rsidRDefault="00BE7D58" w:rsidP="00BE7D58">
      <w:pPr>
        <w:rPr>
          <w:i/>
          <w:color w:val="FF0000"/>
        </w:rPr>
      </w:pPr>
      <w:r w:rsidRPr="00612948">
        <w:t xml:space="preserve">Each outcome is described below together with its related </w:t>
      </w:r>
      <w:r w:rsidR="00290933" w:rsidRPr="00612948">
        <w:t>programs</w:t>
      </w:r>
      <w:r w:rsidRPr="00612948">
        <w:t>.</w:t>
      </w:r>
      <w:r w:rsidR="001D1903" w:rsidRPr="00612948">
        <w:t xml:space="preserve"> </w:t>
      </w:r>
      <w:r w:rsidR="00A61BD0" w:rsidRPr="00612948">
        <w:t>The following provides detailed information on expenses for each outcome</w:t>
      </w:r>
      <w:r w:rsidR="001D1903" w:rsidRPr="00612948">
        <w:t xml:space="preserve"> and </w:t>
      </w:r>
      <w:r w:rsidR="00290933" w:rsidRPr="00612948">
        <w:t>program,</w:t>
      </w:r>
      <w:r w:rsidR="001D1903" w:rsidRPr="00612948">
        <w:t xml:space="preserve"> further broken down by funding source</w:t>
      </w:r>
      <w:r w:rsidR="00A61BD0" w:rsidRPr="00612948">
        <w:t>.</w:t>
      </w:r>
      <w:r w:rsidR="0051207B" w:rsidRPr="00612948"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ook w:val="04A0" w:firstRow="1" w:lastRow="0" w:firstColumn="1" w:lastColumn="0" w:noHBand="0" w:noVBand="1"/>
      </w:tblPr>
      <w:tblGrid>
        <w:gridCol w:w="7700"/>
      </w:tblGrid>
      <w:tr w:rsidR="00CE4D05" w:rsidRPr="001C6402" w14:paraId="06B3F330" w14:textId="77777777" w:rsidTr="001C6402">
        <w:tc>
          <w:tcPr>
            <w:tcW w:w="7700" w:type="dxa"/>
            <w:shd w:val="clear" w:color="auto" w:fill="auto"/>
          </w:tcPr>
          <w:p w14:paraId="21F33278" w14:textId="77777777" w:rsidR="00CE4D05" w:rsidRPr="00612948" w:rsidRDefault="00CE4D05" w:rsidP="001C6402">
            <w:pPr>
              <w:spacing w:before="120" w:after="120" w:line="240" w:lineRule="auto"/>
              <w:jc w:val="both"/>
              <w:rPr>
                <w:b/>
              </w:rPr>
            </w:pPr>
            <w:r w:rsidRPr="00612948">
              <w:rPr>
                <w:b/>
              </w:rPr>
              <w:t>Note:</w:t>
            </w:r>
          </w:p>
          <w:p w14:paraId="09E3FA6B" w14:textId="596791E3" w:rsidR="00CE4D05" w:rsidRPr="00612948" w:rsidRDefault="00CE4D05" w:rsidP="00250122">
            <w:r w:rsidRPr="00612948">
              <w:t xml:space="preserve">Performance reporting requirements in the Portfolio Budget Statements are part of the Commonwealth performance framework established by the </w:t>
            </w:r>
            <w:r w:rsidRPr="00612948">
              <w:rPr>
                <w:i/>
              </w:rPr>
              <w:t>Public Governance, Performance and Accountability Act 2013</w:t>
            </w:r>
            <w:r w:rsidRPr="00612948">
              <w:t xml:space="preserve">. It is anticipated that the performance </w:t>
            </w:r>
            <w:r w:rsidR="001A50DE" w:rsidRPr="00612948">
              <w:t xml:space="preserve">measure </w:t>
            </w:r>
            <w:r w:rsidRPr="00612948">
              <w:t>described in Portfolio Budget Statements will be read with broader information provided in an entity</w:t>
            </w:r>
            <w:r w:rsidR="00AF213C" w:rsidRPr="00612948">
              <w:t>’</w:t>
            </w:r>
            <w:r w:rsidRPr="00612948">
              <w:t>s corporate plans and annual performance statements – included in Annual Reports</w:t>
            </w:r>
            <w:r w:rsidR="00AF213C" w:rsidRPr="00612948">
              <w:t xml:space="preserve"> – </w:t>
            </w:r>
            <w:r w:rsidRPr="00612948">
              <w:t>to provide a complete picture of an entity</w:t>
            </w:r>
            <w:r w:rsidR="00AF213C" w:rsidRPr="00612948">
              <w:t>’</w:t>
            </w:r>
            <w:r w:rsidRPr="00612948">
              <w:t>s planned and actual performance.</w:t>
            </w:r>
          </w:p>
          <w:p w14:paraId="147948F2" w14:textId="6F06F65D" w:rsidR="00007E83" w:rsidRPr="00612948" w:rsidRDefault="00CE4D05" w:rsidP="00356893">
            <w:pPr>
              <w:spacing w:after="0"/>
              <w:rPr>
                <w:u w:val="single"/>
              </w:rPr>
            </w:pPr>
            <w:r w:rsidRPr="00612948">
              <w:t xml:space="preserve">The most recent corporate plan for </w:t>
            </w:r>
            <w:r w:rsidR="002E092B" w:rsidRPr="00612948">
              <w:t xml:space="preserve">the </w:t>
            </w:r>
            <w:r w:rsidR="0074002A" w:rsidRPr="00612948">
              <w:t>C</w:t>
            </w:r>
            <w:r w:rsidR="002E092B" w:rsidRPr="00612948">
              <w:t>DPP</w:t>
            </w:r>
            <w:r w:rsidRPr="00612948">
              <w:t xml:space="preserve"> can be found at:</w:t>
            </w:r>
            <w:r w:rsidR="008E0F4E" w:rsidRPr="00612948">
              <w:t xml:space="preserve"> </w:t>
            </w:r>
            <w:hyperlink r:id="rId17" w:history="1">
              <w:r w:rsidR="00634FB7" w:rsidRPr="00FF57C0">
                <w:rPr>
                  <w:rStyle w:val="Hyperlink"/>
                </w:rPr>
                <w:t>https://www.cdpp.gov.au/corporate-plan</w:t>
              </w:r>
            </w:hyperlink>
          </w:p>
          <w:p w14:paraId="0A0A7FAA" w14:textId="5F994FD2" w:rsidR="00CE4D05" w:rsidRPr="00612948" w:rsidRDefault="00000000" w:rsidP="00356893">
            <w:pPr>
              <w:spacing w:before="0"/>
            </w:pPr>
            <w:hyperlink r:id="rId18" w:anchor="corporate%20plans" w:history="1">
              <w:r w:rsidR="008E0F4E" w:rsidRPr="00612948">
                <w:rPr>
                  <w:rStyle w:val="Hyperlink"/>
                </w:rPr>
                <w:t>Office of the Director of Public Prosecutions (CDPP) (transparency.gov.au)</w:t>
              </w:r>
            </w:hyperlink>
          </w:p>
          <w:p w14:paraId="5F29C83C" w14:textId="469742AF" w:rsidR="00C1339B" w:rsidRPr="00612948" w:rsidRDefault="00CE4D05" w:rsidP="00356893">
            <w:pPr>
              <w:spacing w:after="0"/>
              <w:rPr>
                <w:u w:val="single"/>
              </w:rPr>
            </w:pPr>
            <w:r w:rsidRPr="00612948">
              <w:t xml:space="preserve">The most recent annual performance statement can be found at: </w:t>
            </w:r>
            <w:hyperlink r:id="rId19" w:history="1">
              <w:r w:rsidR="00F835DA" w:rsidRPr="00612948">
                <w:rPr>
                  <w:rStyle w:val="Hyperlink"/>
                </w:rPr>
                <w:t>https://www.cdpp.gov.au/sites/default/files/CDPP-AnnualReport-2023-24_0.pdf</w:t>
              </w:r>
            </w:hyperlink>
          </w:p>
          <w:p w14:paraId="4FD0575A" w14:textId="33E5FE47" w:rsidR="00CE4D05" w:rsidRPr="001C6402" w:rsidRDefault="00000000" w:rsidP="00356893">
            <w:pPr>
              <w:spacing w:before="0"/>
            </w:pPr>
            <w:hyperlink r:id="rId20" w:anchor="annual%20reports" w:history="1">
              <w:r w:rsidR="008E0F4E" w:rsidRPr="00612948">
                <w:rPr>
                  <w:rStyle w:val="Hyperlink"/>
                </w:rPr>
                <w:t>Office of the Director of Public Prosecutions (CDPP) (transparency.gov.au)</w:t>
              </w:r>
            </w:hyperlink>
          </w:p>
        </w:tc>
      </w:tr>
    </w:tbl>
    <w:p w14:paraId="40852399" w14:textId="77777777" w:rsidR="00810C6A" w:rsidRDefault="00810C6A" w:rsidP="00BE7D58">
      <w:pPr>
        <w:rPr>
          <w:highlight w:val="yellow"/>
        </w:rPr>
      </w:pPr>
    </w:p>
    <w:p w14:paraId="4EB37009" w14:textId="77777777" w:rsidR="00950281" w:rsidRDefault="00950281" w:rsidP="003876AB">
      <w:pPr>
        <w:pStyle w:val="Heading3"/>
        <w:sectPr w:rsidR="00950281" w:rsidSect="00655E69">
          <w:footerReference w:type="first" r:id="rId21"/>
          <w:pgSz w:w="11906" w:h="16838" w:code="9"/>
          <w:pgMar w:top="2722" w:right="2098" w:bottom="2381" w:left="2098" w:header="1814" w:footer="1814" w:gutter="0"/>
          <w:pgNumType w:start="321"/>
          <w:cols w:space="708"/>
          <w:titlePg/>
          <w:docGrid w:linePitch="360"/>
        </w:sectPr>
      </w:pPr>
    </w:p>
    <w:p w14:paraId="68EB2F07" w14:textId="39D0327D" w:rsidR="005E54A3" w:rsidRPr="00E64FB4" w:rsidRDefault="008462FB" w:rsidP="00356893">
      <w:pPr>
        <w:pStyle w:val="Heading3"/>
      </w:pPr>
      <w:bookmarkStart w:id="24" w:name="_Toc444523513"/>
      <w:bookmarkStart w:id="25" w:name="_Toc65243510"/>
      <w:r w:rsidRPr="00E64FB4">
        <w:lastRenderedPageBreak/>
        <w:t>2.1</w:t>
      </w:r>
      <w:r w:rsidR="003876AB" w:rsidRPr="00E64FB4">
        <w:t xml:space="preserve"> </w:t>
      </w:r>
      <w:r w:rsidR="003876AB" w:rsidRPr="00E64FB4">
        <w:tab/>
        <w:t xml:space="preserve">Budgeted expenses and performance for Outcome </w:t>
      </w:r>
      <w:r w:rsidR="00EC45D0" w:rsidRPr="00E64FB4">
        <w:t>1</w:t>
      </w:r>
      <w:bookmarkEnd w:id="24"/>
      <w:bookmarkEnd w:id="25"/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1E0" w:firstRow="1" w:lastRow="1" w:firstColumn="1" w:lastColumn="1" w:noHBand="0" w:noVBand="0"/>
      </w:tblPr>
      <w:tblGrid>
        <w:gridCol w:w="7704"/>
      </w:tblGrid>
      <w:tr w:rsidR="00BE7D58" w:rsidRPr="00E64FB4" w14:paraId="159DD422" w14:textId="77777777" w:rsidTr="009763C1">
        <w:tc>
          <w:tcPr>
            <w:tcW w:w="7713" w:type="dxa"/>
            <w:shd w:val="clear" w:color="auto" w:fill="E6E6E6"/>
          </w:tcPr>
          <w:p w14:paraId="21780D2A" w14:textId="0219490B" w:rsidR="00BE7D58" w:rsidRPr="00E64FB4" w:rsidRDefault="00BE7D58" w:rsidP="003876AB">
            <w:pPr>
              <w:pStyle w:val="TableColumnHeadingLeft"/>
            </w:pPr>
            <w:r w:rsidRPr="00E64FB4">
              <w:t xml:space="preserve">Outcome </w:t>
            </w:r>
            <w:r w:rsidR="00EC45D0" w:rsidRPr="00E64FB4">
              <w:t>1</w:t>
            </w:r>
            <w:r w:rsidRPr="00E64FB4">
              <w:t xml:space="preserve">: </w:t>
            </w:r>
            <w:r w:rsidR="00EC45D0" w:rsidRPr="00E64FB4">
              <w:t>Contribute to a fair, safe and just society by delivering an effective, independent prosecution service in accordance with the Prosecution Policy of the Commonwealth.</w:t>
            </w:r>
          </w:p>
        </w:tc>
      </w:tr>
    </w:tbl>
    <w:p w14:paraId="058093CB" w14:textId="63CB5CEE" w:rsidR="0051207B" w:rsidRPr="00E64FB4" w:rsidRDefault="0051207B" w:rsidP="00651671">
      <w:r w:rsidRPr="00E64FB4">
        <w:t xml:space="preserve">This table shows how much the </w:t>
      </w:r>
      <w:r w:rsidR="0074002A" w:rsidRPr="00E64FB4">
        <w:t>C</w:t>
      </w:r>
      <w:r w:rsidR="008E0F4E" w:rsidRPr="00E64FB4">
        <w:t>DPP</w:t>
      </w:r>
      <w:r w:rsidRPr="00E64FB4">
        <w:t xml:space="preserve"> intends to spend (on an accrual basis) on achieving the outcome</w:t>
      </w:r>
      <w:r w:rsidR="00B166C6" w:rsidRPr="00E64FB4">
        <w:t>.</w:t>
      </w:r>
    </w:p>
    <w:p w14:paraId="05D0D282" w14:textId="7984B1E2" w:rsidR="000F4FFC" w:rsidRPr="00E64FB4" w:rsidRDefault="006E4DF1" w:rsidP="000F4FFC">
      <w:pPr>
        <w:pStyle w:val="TableHeading"/>
        <w:rPr>
          <w:rFonts w:ascii="Times New Roman" w:hAnsi="Times New Roman"/>
        </w:rPr>
      </w:pPr>
      <w:r w:rsidRPr="00E64FB4">
        <w:t>Table 2.</w:t>
      </w:r>
      <w:r w:rsidR="00B12DAB" w:rsidRPr="00E64FB4">
        <w:t>1</w:t>
      </w:r>
      <w:r w:rsidRPr="00E64FB4">
        <w:t xml:space="preserve">.1: Budgeted expenses for Outcome </w:t>
      </w:r>
      <w:r w:rsidR="008E0F4E" w:rsidRPr="00E64FB4">
        <w:t>1</w:t>
      </w:r>
      <w:r w:rsidR="000F4FFC" w:rsidRPr="00E64FB4">
        <w:fldChar w:fldCharType="begin" w:fldLock="1"/>
      </w:r>
      <w:r w:rsidR="000F4FFC" w:rsidRPr="00E64FB4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2.X.1 NCCE!R5C1:R31C6" \a \f 4 \h </w:instrText>
      </w:r>
      <w:r w:rsidR="00FF64DD" w:rsidRPr="00E64FB4">
        <w:instrText xml:space="preserve"> \* MERGEFORMAT </w:instrText>
      </w:r>
      <w:r w:rsidR="000F4FFC" w:rsidRPr="00E64FB4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37"/>
        <w:gridCol w:w="933"/>
        <w:gridCol w:w="885"/>
        <w:gridCol w:w="885"/>
        <w:gridCol w:w="885"/>
        <w:gridCol w:w="885"/>
      </w:tblGrid>
      <w:tr w:rsidR="00855AA6" w:rsidRPr="00855AA6" w14:paraId="7B3685D3" w14:textId="77777777" w:rsidTr="00855AA6">
        <w:trPr>
          <w:trHeight w:val="900"/>
        </w:trPr>
        <w:tc>
          <w:tcPr>
            <w:tcW w:w="322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6E13B91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9B70E3A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2024</w:t>
            </w:r>
            <w:r w:rsidRPr="00855AA6">
              <w:rPr>
                <w:rFonts w:ascii="Calibri" w:hAnsi="Calibri" w:cs="Calibri"/>
                <w:sz w:val="16"/>
                <w:szCs w:val="16"/>
              </w:rPr>
              <w:t>–</w:t>
            </w:r>
            <w:r w:rsidRPr="00855AA6">
              <w:rPr>
                <w:rFonts w:ascii="Arial" w:hAnsi="Arial" w:cs="Arial"/>
                <w:sz w:val="16"/>
                <w:szCs w:val="16"/>
              </w:rPr>
              <w:t>25 Estimated actual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2EA9BE22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2025–26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0EFE9E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EEC3A2C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2027–28 Forward estimate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780973B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2028–29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855AA6" w:rsidRPr="00855AA6" w14:paraId="53CACB3D" w14:textId="77777777" w:rsidTr="00855AA6">
        <w:trPr>
          <w:trHeight w:val="462"/>
        </w:trPr>
        <w:tc>
          <w:tcPr>
            <w:tcW w:w="7620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75B8F638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>Program 1.1: An independent service to prosecute alleged offences against the criminal law of the Commonwealth</w:t>
            </w:r>
          </w:p>
        </w:tc>
      </w:tr>
      <w:tr w:rsidR="00855AA6" w:rsidRPr="00855AA6" w14:paraId="7BCA7245" w14:textId="77777777" w:rsidTr="00855AA6">
        <w:trPr>
          <w:trHeight w:val="225"/>
        </w:trPr>
        <w:tc>
          <w:tcPr>
            <w:tcW w:w="32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3B79B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Administered expenses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0783FC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75F29BF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D15E00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100921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3B1CBE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 </w:t>
            </w:r>
          </w:p>
        </w:tc>
      </w:tr>
      <w:tr w:rsidR="00855AA6" w:rsidRPr="00855AA6" w14:paraId="20B5D345" w14:textId="77777777" w:rsidTr="00855AA6">
        <w:trPr>
          <w:trHeight w:val="450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8ECBB0" w14:textId="5908967E" w:rsidR="00855AA6" w:rsidRPr="00855AA6" w:rsidRDefault="00855AA6" w:rsidP="00855AA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Ordinary annual services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 xml:space="preserve">  (Appropriation Bill No. 1</w:t>
            </w:r>
            <w:r w:rsidR="00812765">
              <w:rPr>
                <w:rFonts w:ascii="Arial" w:hAnsi="Arial" w:cs="Arial"/>
                <w:sz w:val="16"/>
                <w:szCs w:val="16"/>
              </w:rPr>
              <w:t xml:space="preserve"> and Supply Bill No. 1</w:t>
            </w:r>
            <w:r w:rsidRPr="00855AA6">
              <w:rPr>
                <w:rFonts w:ascii="Arial" w:hAnsi="Arial" w:cs="Arial"/>
                <w:sz w:val="16"/>
                <w:szCs w:val="16"/>
              </w:rPr>
              <w:t>)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8D3EA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6567B98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3,072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D049EA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B06BBB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21909F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</w:tr>
      <w:tr w:rsidR="00855AA6" w:rsidRPr="00855AA6" w14:paraId="7F87DB7B" w14:textId="77777777" w:rsidTr="00855AA6">
        <w:trPr>
          <w:trHeight w:val="450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7A76B7AF" w14:textId="77777777" w:rsidR="00855AA6" w:rsidRPr="00855AA6" w:rsidRDefault="00855AA6" w:rsidP="00855AA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Other services (Appropriation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 xml:space="preserve">  Bill No. 2)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1A890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E5C7D0C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35FBF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0F2A6F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DBD505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</w:tr>
      <w:tr w:rsidR="00855AA6" w:rsidRPr="00855AA6" w14:paraId="20637B23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19FC068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>Administered total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4925069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2C23CC46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3,072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4606448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0F4099B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D214512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</w:tr>
      <w:tr w:rsidR="00855AA6" w:rsidRPr="00855AA6" w14:paraId="7A315380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2377BF04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Departmental expenses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7B300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ACAE9D5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95A42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887390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C63022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855AA6" w:rsidRPr="00855AA6" w14:paraId="2B08BA1F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15D5CD2" w14:textId="77777777" w:rsidR="00855AA6" w:rsidRPr="00855AA6" w:rsidRDefault="00855AA6" w:rsidP="00855AA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Departmental appropriation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BEBFEE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129,534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1D5C68F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128,347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2F1F2A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100,899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CB3F1E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99,336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41167F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100,061 </w:t>
            </w:r>
          </w:p>
        </w:tc>
      </w:tr>
      <w:tr w:rsidR="00855AA6" w:rsidRPr="00855AA6" w14:paraId="3FDDD98E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vAlign w:val="center"/>
            <w:hideMark/>
          </w:tcPr>
          <w:p w14:paraId="08D8F4DB" w14:textId="77777777" w:rsidR="00855AA6" w:rsidRPr="00855AA6" w:rsidRDefault="00855AA6" w:rsidP="00855AA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s74 External Revenue (a)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3634E0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13,267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8973B8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11,020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D2C4AB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11,020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F90D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4,020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35A5A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4,020 </w:t>
            </w:r>
          </w:p>
        </w:tc>
      </w:tr>
      <w:tr w:rsidR="00855AA6" w:rsidRPr="00855AA6" w14:paraId="79E4A0DB" w14:textId="77777777" w:rsidTr="00855AA6">
        <w:trPr>
          <w:trHeight w:val="67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CEFF287" w14:textId="77777777" w:rsidR="00855AA6" w:rsidRPr="00855AA6" w:rsidRDefault="00855AA6" w:rsidP="00855AA6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Expenses not requiring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 xml:space="preserve">  appropriation in the Budget</w:t>
            </w:r>
            <w:r w:rsidRPr="00855AA6">
              <w:rPr>
                <w:rFonts w:ascii="Arial" w:hAnsi="Arial" w:cs="Arial"/>
                <w:sz w:val="16"/>
                <w:szCs w:val="16"/>
              </w:rPr>
              <w:br/>
              <w:t xml:space="preserve">  year (b)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80BFE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5,735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D30FF24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6,048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B8E930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6,236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6997F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6,142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CB8CC7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5,399 </w:t>
            </w:r>
          </w:p>
        </w:tc>
      </w:tr>
      <w:tr w:rsidR="00855AA6" w:rsidRPr="00855AA6" w14:paraId="6861C1E1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FBE76C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>Departmental total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4E9E970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148,536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3CAD20F0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145,415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8D57A5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118,155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0C25B2E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109,498 </w:t>
            </w:r>
          </w:p>
        </w:tc>
        <w:tc>
          <w:tcPr>
            <w:tcW w:w="880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B30C0D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 xml:space="preserve">109,480 </w:t>
            </w:r>
          </w:p>
        </w:tc>
      </w:tr>
      <w:tr w:rsidR="00855AA6" w:rsidRPr="00855AA6" w14:paraId="00824858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0957B82C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>Total expenses for program 1.1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54124E3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151,536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2F30D515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148,487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F6B5E7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118,155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51310C2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109,498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776B81E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109,480 </w:t>
            </w:r>
          </w:p>
        </w:tc>
      </w:tr>
      <w:tr w:rsidR="00855AA6" w:rsidRPr="00855AA6" w14:paraId="0AE4D9C4" w14:textId="77777777" w:rsidTr="00855AA6">
        <w:trPr>
          <w:trHeight w:val="244"/>
        </w:trPr>
        <w:tc>
          <w:tcPr>
            <w:tcW w:w="322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1E0B99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AFA5D5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992AB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FC6161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30B1B9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1EE285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855AA6" w:rsidRPr="00855AA6" w14:paraId="05A56B4E" w14:textId="77777777" w:rsidTr="00855AA6">
        <w:trPr>
          <w:trHeight w:val="225"/>
        </w:trPr>
        <w:tc>
          <w:tcPr>
            <w:tcW w:w="3220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82F8B1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8B5287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2024–25</w:t>
            </w:r>
          </w:p>
        </w:tc>
        <w:tc>
          <w:tcPr>
            <w:tcW w:w="88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2E9CFAC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5AA6">
              <w:rPr>
                <w:rFonts w:ascii="Arial" w:hAnsi="Arial" w:cs="Arial"/>
                <w:sz w:val="16"/>
                <w:szCs w:val="16"/>
              </w:rPr>
              <w:t>2025–26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D0D007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96E84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A18CDA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855AA6" w:rsidRPr="00855AA6" w14:paraId="7DA2C4CF" w14:textId="77777777" w:rsidTr="00855AA6">
        <w:trPr>
          <w:trHeight w:val="225"/>
        </w:trPr>
        <w:tc>
          <w:tcPr>
            <w:tcW w:w="3220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612363A" w14:textId="77777777" w:rsidR="00855AA6" w:rsidRPr="00855AA6" w:rsidRDefault="00855AA6" w:rsidP="00855AA6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Average staffing level (number)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B70CF5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517 </w:t>
            </w:r>
          </w:p>
        </w:tc>
        <w:tc>
          <w:tcPr>
            <w:tcW w:w="88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5079148E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5AA6">
              <w:rPr>
                <w:rFonts w:ascii="Arial" w:hAnsi="Arial" w:cs="Arial"/>
                <w:color w:val="000000"/>
                <w:sz w:val="16"/>
                <w:szCs w:val="16"/>
              </w:rPr>
              <w:t xml:space="preserve">526 </w:t>
            </w: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667AC" w14:textId="77777777" w:rsidR="00855AA6" w:rsidRPr="00855AA6" w:rsidRDefault="00855AA6" w:rsidP="00855AA6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941465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8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DF112C" w14:textId="77777777" w:rsidR="00855AA6" w:rsidRPr="00855AA6" w:rsidRDefault="00855AA6" w:rsidP="00855AA6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</w:tbl>
    <w:p w14:paraId="6400C5DA" w14:textId="26F25A57" w:rsidR="006E13B0" w:rsidRPr="00E64FB4" w:rsidRDefault="006E13B0" w:rsidP="006E13B0">
      <w:pPr>
        <w:pStyle w:val="ChartandTableFootnoteAlpha"/>
        <w:numPr>
          <w:ilvl w:val="0"/>
          <w:numId w:val="16"/>
        </w:numPr>
      </w:pPr>
      <w:r w:rsidRPr="00E64FB4">
        <w:t>Estimated expenses incurred in relation to receipts retained under section 74 of the PGPA Act.</w:t>
      </w:r>
    </w:p>
    <w:p w14:paraId="49590EBA" w14:textId="2AB5954B" w:rsidR="00EC45D0" w:rsidRPr="00EA4B87" w:rsidRDefault="006E13B0" w:rsidP="00EA4B87">
      <w:pPr>
        <w:pStyle w:val="ChartandTableFootnoteAlpha"/>
        <w:numPr>
          <w:ilvl w:val="0"/>
          <w:numId w:val="16"/>
        </w:numPr>
      </w:pPr>
      <w:r w:rsidRPr="00E64FB4">
        <w:t>Expenses not requiring appropriation in the Budget year are made up of depreciation expenses, amortisation expenses, make good expenses</w:t>
      </w:r>
      <w:r w:rsidR="00B61CAD" w:rsidRPr="00E64FB4">
        <w:t xml:space="preserve"> and</w:t>
      </w:r>
      <w:r w:rsidRPr="00E64FB4">
        <w:t xml:space="preserve"> audit fees.</w:t>
      </w:r>
      <w:r w:rsidR="00EC45D0" w:rsidRPr="00EA4B87">
        <w:rPr>
          <w:highlight w:val="green"/>
        </w:rPr>
        <w:br w:type="page"/>
      </w:r>
    </w:p>
    <w:p w14:paraId="3B31CA45" w14:textId="09080532" w:rsidR="00C854F5" w:rsidRPr="00EB3995" w:rsidRDefault="008E5BB7" w:rsidP="00356893">
      <w:pPr>
        <w:pStyle w:val="TableHeadingcontinued"/>
        <w:spacing w:before="0"/>
      </w:pPr>
      <w:bookmarkStart w:id="26" w:name="_Toc190682315"/>
      <w:bookmarkStart w:id="27" w:name="_Toc190682532"/>
      <w:bookmarkEnd w:id="20"/>
      <w:bookmarkEnd w:id="21"/>
      <w:r w:rsidRPr="00EB3995">
        <w:lastRenderedPageBreak/>
        <w:t>Table 2.</w:t>
      </w:r>
      <w:r w:rsidR="009A52CD" w:rsidRPr="00EB3995">
        <w:t>1</w:t>
      </w:r>
      <w:r w:rsidRPr="00EB3995">
        <w:t>.</w:t>
      </w:r>
      <w:r w:rsidR="009A52CD" w:rsidRPr="00EB3995">
        <w:t>2</w:t>
      </w:r>
      <w:r w:rsidRPr="00EB3995">
        <w:t xml:space="preserve">: Performance </w:t>
      </w:r>
      <w:r w:rsidR="001A50DE" w:rsidRPr="00EB3995">
        <w:t xml:space="preserve">measure </w:t>
      </w:r>
      <w:r w:rsidRPr="00EB3995">
        <w:t xml:space="preserve">for Outcome </w:t>
      </w:r>
      <w:r w:rsidR="008E0F4E" w:rsidRPr="00EB3995">
        <w:t>1</w:t>
      </w:r>
    </w:p>
    <w:p w14:paraId="0029862C" w14:textId="1CE0FA65" w:rsidR="00691E49" w:rsidRPr="00EB3995" w:rsidRDefault="00E12264" w:rsidP="00356893">
      <w:pPr>
        <w:rPr>
          <w:rFonts w:asciiTheme="minorHAnsi" w:hAnsiTheme="minorHAnsi" w:cstheme="minorHAnsi"/>
          <w:i/>
          <w:color w:val="FF0000"/>
          <w:sz w:val="22"/>
          <w:szCs w:val="24"/>
        </w:rPr>
      </w:pPr>
      <w:r w:rsidRPr="00EB3995">
        <w:t>Table 2.</w:t>
      </w:r>
      <w:r w:rsidR="009A52CD" w:rsidRPr="00EB3995">
        <w:t>1</w:t>
      </w:r>
      <w:r w:rsidRPr="00EB3995">
        <w:t>.</w:t>
      </w:r>
      <w:r w:rsidR="009A52CD" w:rsidRPr="00EB3995">
        <w:t>2</w:t>
      </w:r>
      <w:r w:rsidRPr="00EB3995">
        <w:t xml:space="preserve"> details the performance measures for each program associated with Outcome </w:t>
      </w:r>
      <w:r w:rsidR="009A52CD" w:rsidRPr="00EB3995">
        <w:t>1</w:t>
      </w:r>
      <w:r w:rsidRPr="00EB3995">
        <w:t xml:space="preserve">. It </w:t>
      </w:r>
      <w:r w:rsidR="002E6DB1" w:rsidRPr="00EB3995">
        <w:t xml:space="preserve">is used by entities to </w:t>
      </w:r>
      <w:r w:rsidR="004D3F65" w:rsidRPr="00EB3995">
        <w:t xml:space="preserve">describe the results they plan to achieve and </w:t>
      </w:r>
      <w:r w:rsidRPr="00EB3995">
        <w:t>the related key activities</w:t>
      </w:r>
      <w:r w:rsidR="0094644C" w:rsidRPr="00EB3995">
        <w:t>,</w:t>
      </w:r>
      <w:r w:rsidRPr="00EB3995">
        <w:t xml:space="preserve"> as </w:t>
      </w:r>
      <w:r w:rsidR="00EA1E91" w:rsidRPr="00EB3995">
        <w:t xml:space="preserve">detailed </w:t>
      </w:r>
      <w:r w:rsidRPr="00EB3995">
        <w:t>in the current corporate plan</w:t>
      </w:r>
      <w:r w:rsidR="00534105" w:rsidRPr="00EB3995">
        <w:t xml:space="preserve"> (i.e. 2024–25)</w:t>
      </w:r>
      <w:r w:rsidR="00ED1C65" w:rsidRPr="00EB3995">
        <w:t>,</w:t>
      </w:r>
      <w:r w:rsidRPr="00EB3995">
        <w:t xml:space="preserve"> the context in which these activities are delivered</w:t>
      </w:r>
      <w:r w:rsidR="00AE42F1" w:rsidRPr="00EB3995">
        <w:t>,</w:t>
      </w:r>
      <w:r w:rsidRPr="00EB3995">
        <w:t xml:space="preserve"> and how the performance of these activities will be measured. Where relevant, details of </w:t>
      </w:r>
      <w:r w:rsidR="009F0564" w:rsidRPr="00EB3995">
        <w:t xml:space="preserve">the </w:t>
      </w:r>
      <w:r w:rsidRPr="00EB3995">
        <w:t>202</w:t>
      </w:r>
      <w:r w:rsidR="00534105" w:rsidRPr="00EB3995">
        <w:t>5</w:t>
      </w:r>
      <w:r w:rsidR="00EC33E6" w:rsidRPr="00EB3995">
        <w:t>–</w:t>
      </w:r>
      <w:r w:rsidRPr="00EB3995">
        <w:t>2</w:t>
      </w:r>
      <w:r w:rsidR="00534105" w:rsidRPr="00EB3995">
        <w:t>6</w:t>
      </w:r>
      <w:r w:rsidRPr="00EB3995">
        <w:t xml:space="preserve"> Budget measures that have created new programs or materially changed existing programs are provided. </w:t>
      </w:r>
    </w:p>
    <w:tbl>
      <w:tblPr>
        <w:tblW w:w="7796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560"/>
        <w:gridCol w:w="3118"/>
        <w:gridCol w:w="3118"/>
      </w:tblGrid>
      <w:tr w:rsidR="00B12DAB" w:rsidRPr="00EB3995" w14:paraId="223E6463" w14:textId="77777777" w:rsidTr="008130F8">
        <w:trPr>
          <w:cantSplit/>
          <w:trHeight w:val="261"/>
          <w:tblHeader/>
        </w:trPr>
        <w:tc>
          <w:tcPr>
            <w:tcW w:w="7796" w:type="dxa"/>
            <w:gridSpan w:val="3"/>
            <w:shd w:val="clear" w:color="auto" w:fill="F2F2F2"/>
          </w:tcPr>
          <w:bookmarkEnd w:id="26"/>
          <w:bookmarkEnd w:id="27"/>
          <w:p w14:paraId="423C66BE" w14:textId="0AECE4D9" w:rsidR="007D0ADA" w:rsidRPr="00EB3995" w:rsidRDefault="007D0ADA" w:rsidP="00AE59F5">
            <w:pPr>
              <w:pStyle w:val="TableColumnHeadingLeft"/>
              <w:rPr>
                <w:rFonts w:cs="Arial"/>
                <w:b w:val="0"/>
                <w:bCs/>
                <w:szCs w:val="16"/>
              </w:rPr>
            </w:pPr>
            <w:r w:rsidRPr="00EB3995">
              <w:rPr>
                <w:rStyle w:val="TableHeadingChar"/>
                <w:rFonts w:cs="Arial"/>
                <w:b/>
                <w:szCs w:val="16"/>
              </w:rPr>
              <w:t xml:space="preserve">Outcome </w:t>
            </w:r>
            <w:r w:rsidR="0002218F" w:rsidRPr="00EB3995">
              <w:rPr>
                <w:rStyle w:val="TableHeadingChar"/>
                <w:rFonts w:cs="Arial"/>
                <w:b/>
                <w:szCs w:val="16"/>
              </w:rPr>
              <w:t>1</w:t>
            </w:r>
            <w:r w:rsidRPr="00EB3995">
              <w:rPr>
                <w:rFonts w:cs="Arial"/>
                <w:b w:val="0"/>
                <w:bCs/>
                <w:szCs w:val="16"/>
              </w:rPr>
              <w:t xml:space="preserve"> </w:t>
            </w:r>
            <w:r w:rsidRPr="00EB3995">
              <w:rPr>
                <w:rFonts w:cs="Arial"/>
                <w:szCs w:val="16"/>
              </w:rPr>
              <w:t xml:space="preserve">– </w:t>
            </w:r>
            <w:r w:rsidR="002002F7" w:rsidRPr="00EB3995">
              <w:rPr>
                <w:rFonts w:cs="Arial"/>
                <w:szCs w:val="16"/>
              </w:rPr>
              <w:t>Contribute to a fair, safe and just society by delivering an effective, independent</w:t>
            </w:r>
            <w:r w:rsidR="00E222DF" w:rsidRPr="00EB3995">
              <w:rPr>
                <w:rFonts w:cs="Arial"/>
                <w:szCs w:val="16"/>
              </w:rPr>
              <w:t xml:space="preserve"> prosecution service</w:t>
            </w:r>
            <w:r w:rsidR="009F241C" w:rsidRPr="00EB3995">
              <w:rPr>
                <w:rFonts w:cs="Arial"/>
                <w:szCs w:val="16"/>
              </w:rPr>
              <w:t xml:space="preserve"> in accordance with the Prosecution Policy of the Commonwealth</w:t>
            </w:r>
            <w:r w:rsidR="006E2498" w:rsidRPr="00EB3995">
              <w:rPr>
                <w:rFonts w:cs="Arial"/>
                <w:szCs w:val="16"/>
              </w:rPr>
              <w:t>.</w:t>
            </w:r>
          </w:p>
        </w:tc>
      </w:tr>
      <w:tr w:rsidR="00B12DAB" w:rsidRPr="00EB3995" w14:paraId="27E1D878" w14:textId="77777777">
        <w:trPr>
          <w:cantSplit/>
          <w:trHeight w:val="522"/>
          <w:tblHeader/>
        </w:trPr>
        <w:tc>
          <w:tcPr>
            <w:tcW w:w="7796" w:type="dxa"/>
            <w:gridSpan w:val="3"/>
            <w:shd w:val="clear" w:color="auto" w:fill="F2F2F2"/>
          </w:tcPr>
          <w:p w14:paraId="4E9DE9E1" w14:textId="651AE6F7" w:rsidR="007D0ADA" w:rsidRPr="00EB3995" w:rsidRDefault="007D0ADA" w:rsidP="00AE59F5">
            <w:pPr>
              <w:pStyle w:val="TableTextLeft"/>
              <w:spacing w:before="40" w:after="40"/>
              <w:rPr>
                <w:rFonts w:eastAsia="Arial"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 xml:space="preserve">Program </w:t>
            </w:r>
            <w:r w:rsidR="00BD08A2" w:rsidRPr="00EB3995">
              <w:rPr>
                <w:rFonts w:cs="Arial"/>
                <w:b/>
                <w:szCs w:val="16"/>
              </w:rPr>
              <w:t>1</w:t>
            </w:r>
            <w:r w:rsidRPr="00EB3995">
              <w:rPr>
                <w:rFonts w:cs="Arial"/>
                <w:b/>
                <w:szCs w:val="16"/>
              </w:rPr>
              <w:t>.</w:t>
            </w:r>
            <w:r w:rsidR="00BD08A2" w:rsidRPr="00EB3995">
              <w:rPr>
                <w:rFonts w:cs="Arial"/>
                <w:b/>
                <w:szCs w:val="16"/>
              </w:rPr>
              <w:t>1</w:t>
            </w:r>
            <w:r w:rsidRPr="00EB3995">
              <w:rPr>
                <w:rFonts w:cs="Arial"/>
                <w:b/>
                <w:szCs w:val="16"/>
              </w:rPr>
              <w:t xml:space="preserve"> – </w:t>
            </w:r>
            <w:r w:rsidR="00BD08A2" w:rsidRPr="00EB3995">
              <w:rPr>
                <w:rFonts w:cs="Arial"/>
                <w:b/>
                <w:szCs w:val="16"/>
              </w:rPr>
              <w:t>An independent service to prosecute alleged offences against the criminal law of the Commonwealth</w:t>
            </w:r>
            <w:r w:rsidR="006E2498" w:rsidRPr="00EB3995">
              <w:rPr>
                <w:rFonts w:cs="Arial"/>
                <w:b/>
                <w:szCs w:val="16"/>
              </w:rPr>
              <w:t>.</w:t>
            </w:r>
          </w:p>
          <w:p w14:paraId="6A2E9DDB" w14:textId="5CFE7824" w:rsidR="006E2498" w:rsidRPr="00EB3995" w:rsidRDefault="006E2498" w:rsidP="00AE59F5">
            <w:pPr>
              <w:pStyle w:val="TableTextLeft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 xml:space="preserve">The CDPP delivers a national prosecution service across the following </w:t>
            </w:r>
            <w:r w:rsidR="00573A02" w:rsidRPr="00EB3995">
              <w:rPr>
                <w:rFonts w:cs="Arial"/>
                <w:szCs w:val="16"/>
              </w:rPr>
              <w:t>practice groups</w:t>
            </w:r>
            <w:r w:rsidRPr="00EB3995">
              <w:rPr>
                <w:rFonts w:cs="Arial"/>
                <w:szCs w:val="16"/>
              </w:rPr>
              <w:t>:</w:t>
            </w:r>
          </w:p>
          <w:p w14:paraId="1F631E55" w14:textId="20510CD5" w:rsidR="00B04028" w:rsidRPr="00EB3995" w:rsidRDefault="00B04028" w:rsidP="006E2498">
            <w:pPr>
              <w:pStyle w:val="TableTextLeft"/>
              <w:numPr>
                <w:ilvl w:val="0"/>
                <w:numId w:val="32"/>
              </w:numPr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Fraud and Specialist Agencies;</w:t>
            </w:r>
          </w:p>
          <w:p w14:paraId="5AE35E6C" w14:textId="1EC9EDE5" w:rsidR="007D0ADA" w:rsidRPr="00EB3995" w:rsidRDefault="00890E0D" w:rsidP="006E2498">
            <w:pPr>
              <w:pStyle w:val="TableTextLeft"/>
              <w:numPr>
                <w:ilvl w:val="0"/>
                <w:numId w:val="32"/>
              </w:numPr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Human E</w:t>
            </w:r>
            <w:r w:rsidR="00A41596" w:rsidRPr="00EB3995">
              <w:rPr>
                <w:rFonts w:cs="Arial"/>
                <w:szCs w:val="16"/>
              </w:rPr>
              <w:t>xploitation and Border Protection;</w:t>
            </w:r>
          </w:p>
          <w:p w14:paraId="766F140D" w14:textId="3E70A961" w:rsidR="00A41596" w:rsidRPr="00EB3995" w:rsidRDefault="00A41596" w:rsidP="006E2498">
            <w:pPr>
              <w:pStyle w:val="TableTextLeft"/>
              <w:numPr>
                <w:ilvl w:val="0"/>
                <w:numId w:val="32"/>
              </w:numPr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Organised Crime and National Security;</w:t>
            </w:r>
            <w:r w:rsidR="006A4E0C" w:rsidRPr="00EB3995">
              <w:rPr>
                <w:rFonts w:cs="Arial"/>
                <w:szCs w:val="16"/>
              </w:rPr>
              <w:t xml:space="preserve"> and</w:t>
            </w:r>
          </w:p>
          <w:p w14:paraId="0A3B8173" w14:textId="3C0B57A4" w:rsidR="007D0ADA" w:rsidRPr="00EB3995" w:rsidRDefault="00A41596" w:rsidP="00356893">
            <w:pPr>
              <w:pStyle w:val="TableTextLeft"/>
              <w:numPr>
                <w:ilvl w:val="0"/>
                <w:numId w:val="32"/>
              </w:numPr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Serious Financial and Corporate Crime.</w:t>
            </w:r>
          </w:p>
        </w:tc>
      </w:tr>
      <w:tr w:rsidR="00B12DAB" w:rsidRPr="00EB3995" w14:paraId="045311ED" w14:textId="77777777" w:rsidTr="007B1D8A">
        <w:trPr>
          <w:cantSplit/>
          <w:trHeight w:val="261"/>
        </w:trPr>
        <w:tc>
          <w:tcPr>
            <w:tcW w:w="1560" w:type="dxa"/>
            <w:tcBorders>
              <w:bottom w:val="double" w:sz="4" w:space="0" w:color="auto"/>
            </w:tcBorders>
          </w:tcPr>
          <w:p w14:paraId="1E3A3635" w14:textId="43B81ECB" w:rsidR="007D0ADA" w:rsidRPr="00EB3995" w:rsidRDefault="007D0ADA" w:rsidP="00AE59F5">
            <w:pPr>
              <w:tabs>
                <w:tab w:val="left" w:pos="709"/>
              </w:tabs>
              <w:spacing w:before="40" w:after="40" w:line="240" w:lineRule="auto"/>
              <w:rPr>
                <w:rFonts w:ascii="Arial" w:hAnsi="Arial" w:cs="Arial"/>
                <w:b/>
                <w:sz w:val="16"/>
                <w:szCs w:val="16"/>
              </w:rPr>
            </w:pPr>
            <w:r w:rsidRPr="00EB3995">
              <w:rPr>
                <w:rFonts w:ascii="Arial" w:hAnsi="Arial" w:cs="Arial"/>
                <w:b/>
                <w:sz w:val="16"/>
                <w:szCs w:val="16"/>
              </w:rPr>
              <w:t xml:space="preserve">Key </w:t>
            </w:r>
            <w:r w:rsidR="00276B58" w:rsidRPr="00EB3995">
              <w:rPr>
                <w:rFonts w:ascii="Arial" w:hAnsi="Arial" w:cs="Arial"/>
                <w:b/>
                <w:sz w:val="16"/>
                <w:szCs w:val="16"/>
              </w:rPr>
              <w:t>a</w:t>
            </w:r>
            <w:r w:rsidRPr="00EB3995">
              <w:rPr>
                <w:rFonts w:ascii="Arial" w:hAnsi="Arial" w:cs="Arial"/>
                <w:b/>
                <w:sz w:val="16"/>
                <w:szCs w:val="16"/>
              </w:rPr>
              <w:t>ctivities</w:t>
            </w:r>
          </w:p>
        </w:tc>
        <w:tc>
          <w:tcPr>
            <w:tcW w:w="6236" w:type="dxa"/>
            <w:gridSpan w:val="2"/>
            <w:tcBorders>
              <w:bottom w:val="double" w:sz="4" w:space="0" w:color="auto"/>
            </w:tcBorders>
          </w:tcPr>
          <w:p w14:paraId="1375C47E" w14:textId="5F004B7E" w:rsidR="007D0ADA" w:rsidRPr="00EB3995" w:rsidRDefault="00643DB3" w:rsidP="00AE59F5">
            <w:pPr>
              <w:tabs>
                <w:tab w:val="left" w:pos="709"/>
              </w:tabs>
              <w:spacing w:before="40" w:after="40" w:line="240" w:lineRule="auto"/>
              <w:rPr>
                <w:rFonts w:ascii="Arial" w:hAnsi="Arial" w:cs="Arial"/>
                <w:bCs/>
                <w:sz w:val="16"/>
                <w:szCs w:val="16"/>
              </w:rPr>
            </w:pPr>
            <w:r w:rsidRPr="00EB3995">
              <w:rPr>
                <w:rFonts w:ascii="Arial" w:hAnsi="Arial" w:cs="Arial"/>
                <w:bCs/>
                <w:sz w:val="16"/>
                <w:szCs w:val="16"/>
              </w:rPr>
              <w:t>Key Activity 1 – Prosecute with Integrity.</w:t>
            </w:r>
          </w:p>
          <w:p w14:paraId="3A3E5516" w14:textId="4EB8F41E" w:rsidR="007D0ADA" w:rsidRPr="00EB3995" w:rsidRDefault="00643DB3" w:rsidP="00AE59F5">
            <w:pPr>
              <w:tabs>
                <w:tab w:val="left" w:pos="709"/>
              </w:tabs>
              <w:spacing w:before="40" w:after="40" w:line="240" w:lineRule="auto"/>
              <w:rPr>
                <w:rFonts w:ascii="Arial" w:hAnsi="Arial" w:cs="Arial"/>
                <w:sz w:val="16"/>
                <w:szCs w:val="16"/>
              </w:rPr>
            </w:pPr>
            <w:r w:rsidRPr="00EB3995">
              <w:rPr>
                <w:rFonts w:ascii="Arial" w:hAnsi="Arial" w:cs="Arial"/>
                <w:sz w:val="16"/>
                <w:szCs w:val="16"/>
              </w:rPr>
              <w:t>Key Activity 2 – Work in Partnership.</w:t>
            </w:r>
          </w:p>
        </w:tc>
      </w:tr>
      <w:tr w:rsidR="00B12DAB" w:rsidRPr="00EB3995" w14:paraId="21F92F33" w14:textId="77777777" w:rsidTr="00706D1F">
        <w:trPr>
          <w:cantSplit/>
          <w:trHeight w:val="258"/>
        </w:trPr>
        <w:tc>
          <w:tcPr>
            <w:tcW w:w="1560" w:type="dxa"/>
            <w:tcBorders>
              <w:top w:val="double" w:sz="4" w:space="0" w:color="auto"/>
              <w:bottom w:val="single" w:sz="4" w:space="0" w:color="auto"/>
              <w:right w:val="single" w:sz="4" w:space="0" w:color="auto"/>
            </w:tcBorders>
          </w:tcPr>
          <w:p w14:paraId="01E357EA" w14:textId="77777777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>Year</w:t>
            </w:r>
          </w:p>
        </w:tc>
        <w:tc>
          <w:tcPr>
            <w:tcW w:w="311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9B062EF" w14:textId="295D1AFC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>Performance measures</w:t>
            </w:r>
          </w:p>
        </w:tc>
        <w:tc>
          <w:tcPr>
            <w:tcW w:w="3118" w:type="dxa"/>
            <w:tcBorders>
              <w:top w:val="double" w:sz="4" w:space="0" w:color="auto"/>
              <w:left w:val="single" w:sz="4" w:space="0" w:color="auto"/>
              <w:bottom w:val="single" w:sz="4" w:space="0" w:color="auto"/>
            </w:tcBorders>
          </w:tcPr>
          <w:p w14:paraId="4ED023C6" w14:textId="6B4EAF7D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 xml:space="preserve">Expected </w:t>
            </w:r>
            <w:r w:rsidR="00E44FE2" w:rsidRPr="00EB3995">
              <w:rPr>
                <w:rFonts w:cs="Arial"/>
                <w:b/>
                <w:szCs w:val="16"/>
              </w:rPr>
              <w:t>p</w:t>
            </w:r>
            <w:r w:rsidRPr="00EB3995">
              <w:rPr>
                <w:rFonts w:cs="Arial"/>
                <w:b/>
                <w:szCs w:val="16"/>
              </w:rPr>
              <w:t xml:space="preserve">erformance </w:t>
            </w:r>
            <w:r w:rsidR="00E44FE2" w:rsidRPr="00EB3995">
              <w:rPr>
                <w:rFonts w:cs="Arial"/>
                <w:b/>
                <w:szCs w:val="16"/>
              </w:rPr>
              <w:t>r</w:t>
            </w:r>
            <w:r w:rsidRPr="00EB3995">
              <w:rPr>
                <w:rFonts w:cs="Arial"/>
                <w:b/>
                <w:szCs w:val="16"/>
              </w:rPr>
              <w:t>esults</w:t>
            </w:r>
          </w:p>
        </w:tc>
      </w:tr>
      <w:tr w:rsidR="00B12DAB" w:rsidRPr="00EB3995" w14:paraId="3CAE3A6B" w14:textId="77777777" w:rsidTr="00706D1F">
        <w:trPr>
          <w:cantSplit/>
          <w:trHeight w:val="642"/>
        </w:trPr>
        <w:tc>
          <w:tcPr>
            <w:tcW w:w="1560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14:paraId="6F947EA2" w14:textId="1532A8AE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Current Year</w:t>
            </w:r>
            <w:r w:rsidR="00A81AFE" w:rsidRPr="00EB3995">
              <w:rPr>
                <w:rFonts w:cs="Arial"/>
                <w:szCs w:val="16"/>
              </w:rPr>
              <w:t xml:space="preserve"> </w:t>
            </w:r>
          </w:p>
          <w:p w14:paraId="2ECAF527" w14:textId="77777777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2024–25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B2BAD03" w14:textId="6D195A49" w:rsidR="00FD4DCB" w:rsidRPr="00EB3995" w:rsidRDefault="00F35960" w:rsidP="002B41F9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 xml:space="preserve">Compliance in addressing the terms of the test for the </w:t>
            </w:r>
            <w:r w:rsidRPr="00EB3995">
              <w:rPr>
                <w:rFonts w:cs="Arial"/>
                <w:i/>
                <w:iCs/>
                <w:szCs w:val="16"/>
              </w:rPr>
              <w:t>Prosecution Policy of the Commonwealth</w:t>
            </w:r>
            <w:r w:rsidRPr="00EB3995">
              <w:rPr>
                <w:rFonts w:cs="Arial"/>
                <w:szCs w:val="16"/>
              </w:rPr>
              <w:t xml:space="preserve">, namely the existence of a </w:t>
            </w:r>
            <w:r w:rsidRPr="00EB3995">
              <w:rPr>
                <w:rFonts w:cs="Arial"/>
                <w:i/>
                <w:iCs/>
                <w:szCs w:val="16"/>
              </w:rPr>
              <w:t>prima facie</w:t>
            </w:r>
            <w:r w:rsidRPr="00EB3995">
              <w:rPr>
                <w:rFonts w:cs="Arial"/>
                <w:szCs w:val="16"/>
              </w:rPr>
              <w:t xml:space="preserve"> case, reasonable prospects of conviction and that prosecution is required in the public interest, when deciding to commence or continue a prosecution.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14:paraId="67A25B90" w14:textId="0F96FBE3" w:rsidR="007D0ADA" w:rsidRPr="00EB3995" w:rsidRDefault="00F35960" w:rsidP="00847640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100%</w:t>
            </w:r>
          </w:p>
          <w:p w14:paraId="266E6A1C" w14:textId="6090EF27" w:rsidR="00BA0510" w:rsidRPr="00EB3995" w:rsidRDefault="00DE5FED" w:rsidP="00847640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On track</w:t>
            </w:r>
          </w:p>
          <w:p w14:paraId="30C97C31" w14:textId="1CFD5BA9" w:rsidR="00BA0510" w:rsidRPr="00EB3995" w:rsidRDefault="00BA0510" w:rsidP="00E64A4E">
            <w:pPr>
              <w:pStyle w:val="TableTextBase"/>
              <w:spacing w:before="40" w:after="40"/>
              <w:rPr>
                <w:rFonts w:cs="Arial"/>
                <w:szCs w:val="16"/>
              </w:rPr>
            </w:pPr>
          </w:p>
        </w:tc>
      </w:tr>
      <w:tr w:rsidR="00B12DAB" w:rsidRPr="00EB3995" w14:paraId="599F3FCB" w14:textId="77777777" w:rsidTr="00706D1F">
        <w:trPr>
          <w:cantSplit/>
          <w:trHeight w:val="642"/>
        </w:trPr>
        <w:tc>
          <w:tcPr>
            <w:tcW w:w="1560" w:type="dxa"/>
            <w:vMerge/>
            <w:tcBorders>
              <w:right w:val="single" w:sz="4" w:space="0" w:color="auto"/>
            </w:tcBorders>
          </w:tcPr>
          <w:p w14:paraId="09B0C13F" w14:textId="77777777" w:rsidR="00F35960" w:rsidRPr="00EB3995" w:rsidRDefault="00F35960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5CF233B9" w14:textId="66425B86" w:rsidR="00F35960" w:rsidRPr="00EB3995" w:rsidRDefault="00F35960" w:rsidP="002B41F9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Prosecutions resulting in a finding of guilt (defended matters). Percentage of the total number of defendants found guilty in defended matters.</w:t>
            </w: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</w:tcBorders>
          </w:tcPr>
          <w:p w14:paraId="79BD2A74" w14:textId="77777777" w:rsidR="00F35960" w:rsidRPr="00EB3995" w:rsidRDefault="00F35960" w:rsidP="00847640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70% or greater</w:t>
            </w:r>
            <w:r w:rsidR="00A9077B" w:rsidRPr="00EB3995">
              <w:rPr>
                <w:rFonts w:cs="Arial"/>
                <w:szCs w:val="16"/>
              </w:rPr>
              <w:t>.</w:t>
            </w:r>
            <w:r w:rsidRPr="00EB3995">
              <w:rPr>
                <w:rFonts w:cs="Arial"/>
                <w:szCs w:val="16"/>
              </w:rPr>
              <w:t xml:space="preserve"> (a)</w:t>
            </w:r>
          </w:p>
          <w:p w14:paraId="52B735FE" w14:textId="24DF2255" w:rsidR="00DE5FED" w:rsidRPr="00EB3995" w:rsidDel="00F0333A" w:rsidRDefault="00DE5FED" w:rsidP="00847640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On track</w:t>
            </w:r>
          </w:p>
        </w:tc>
      </w:tr>
      <w:tr w:rsidR="00B12DAB" w:rsidRPr="00EB3995" w14:paraId="04A59028" w14:textId="77777777" w:rsidTr="00706D1F">
        <w:trPr>
          <w:cantSplit/>
          <w:trHeight w:val="642"/>
        </w:trPr>
        <w:tc>
          <w:tcPr>
            <w:tcW w:w="1560" w:type="dxa"/>
            <w:vMerge/>
            <w:tcBorders>
              <w:right w:val="single" w:sz="4" w:space="0" w:color="auto"/>
            </w:tcBorders>
          </w:tcPr>
          <w:p w14:paraId="30CEFA05" w14:textId="77777777" w:rsidR="00F35960" w:rsidRPr="00EB3995" w:rsidRDefault="00F35960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F5A68A9" w14:textId="780361DD" w:rsidR="00F35960" w:rsidRPr="00EB3995" w:rsidRDefault="00F35960" w:rsidP="002B41F9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Prosecutions resulting in a finding of guilt (total matters). Percentage of the total number of defendants found guilty.</w:t>
            </w: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</w:tcPr>
          <w:p w14:paraId="00E1E158" w14:textId="77777777" w:rsidR="00F35960" w:rsidRPr="00EB3995" w:rsidRDefault="00F35960" w:rsidP="00847640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90% or greater</w:t>
            </w:r>
            <w:r w:rsidR="00A9077B" w:rsidRPr="00EB3995">
              <w:rPr>
                <w:rFonts w:cs="Arial"/>
                <w:szCs w:val="16"/>
              </w:rPr>
              <w:t>.</w:t>
            </w:r>
            <w:r w:rsidRPr="00EB3995">
              <w:rPr>
                <w:rFonts w:cs="Arial"/>
                <w:szCs w:val="16"/>
              </w:rPr>
              <w:t xml:space="preserve"> (a)</w:t>
            </w:r>
          </w:p>
          <w:p w14:paraId="1A6DE2E1" w14:textId="31DBCFB4" w:rsidR="00FA200E" w:rsidRPr="00EB3995" w:rsidRDefault="00FA200E" w:rsidP="00847640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On track</w:t>
            </w:r>
          </w:p>
        </w:tc>
      </w:tr>
      <w:tr w:rsidR="00B12DAB" w:rsidRPr="00EB3995" w14:paraId="0EDD87BA" w14:textId="77777777" w:rsidTr="002B41F9">
        <w:trPr>
          <w:cantSplit/>
          <w:trHeight w:hRule="exact" w:val="255"/>
        </w:trPr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793DDFD" w14:textId="77777777" w:rsidR="007D0ADA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>Year</w:t>
            </w:r>
          </w:p>
          <w:p w14:paraId="23E6D840" w14:textId="77777777" w:rsidR="0007408A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  <w:p w14:paraId="13D009E4" w14:textId="77777777" w:rsidR="0007408A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  <w:p w14:paraId="1E725CCF" w14:textId="77777777" w:rsidR="0007408A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  <w:p w14:paraId="01C81F2A" w14:textId="77777777" w:rsidR="0007408A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  <w:p w14:paraId="2B866277" w14:textId="77777777" w:rsidR="0007408A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  <w:p w14:paraId="692E4022" w14:textId="77777777" w:rsidR="0007408A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  <w:p w14:paraId="0303F3D1" w14:textId="77777777" w:rsidR="0007408A" w:rsidRPr="00EB3995" w:rsidRDefault="0007408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9AD3D57" w14:textId="421428C6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>Performance measures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16171717" w14:textId="1A6D1809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b/>
                <w:szCs w:val="16"/>
              </w:rPr>
              <w:t xml:space="preserve">Planned </w:t>
            </w:r>
            <w:r w:rsidR="00E44FE2" w:rsidRPr="00EB3995">
              <w:rPr>
                <w:rFonts w:cs="Arial"/>
                <w:b/>
                <w:szCs w:val="16"/>
              </w:rPr>
              <w:t>p</w:t>
            </w:r>
            <w:r w:rsidRPr="00EB3995">
              <w:rPr>
                <w:rFonts w:cs="Arial"/>
                <w:b/>
                <w:szCs w:val="16"/>
              </w:rPr>
              <w:t xml:space="preserve">erformance </w:t>
            </w:r>
            <w:r w:rsidR="00E44FE2" w:rsidRPr="00EB3995">
              <w:rPr>
                <w:rFonts w:cs="Arial"/>
                <w:b/>
                <w:szCs w:val="16"/>
              </w:rPr>
              <w:t>r</w:t>
            </w:r>
            <w:r w:rsidRPr="00EB3995">
              <w:rPr>
                <w:rFonts w:cs="Arial"/>
                <w:b/>
                <w:szCs w:val="16"/>
              </w:rPr>
              <w:t>esults</w:t>
            </w:r>
          </w:p>
        </w:tc>
      </w:tr>
      <w:tr w:rsidR="002B41F9" w:rsidRPr="00B12DAB" w14:paraId="7E3FBB41" w14:textId="77777777" w:rsidTr="002B41F9">
        <w:trPr>
          <w:cantSplit/>
          <w:trHeight w:val="782"/>
        </w:trPr>
        <w:tc>
          <w:tcPr>
            <w:tcW w:w="1560" w:type="dxa"/>
            <w:vMerge w:val="restart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3ACB127" w14:textId="531725F9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 xml:space="preserve">Budget Year </w:t>
            </w:r>
          </w:p>
          <w:p w14:paraId="7315030D" w14:textId="77777777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2025–26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0ED958A" w14:textId="3B487892" w:rsidR="002B41F9" w:rsidRPr="00EB3995" w:rsidRDefault="002B41F9" w:rsidP="002B41F9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 xml:space="preserve">Compliance in addressing the terms of the test for the </w:t>
            </w:r>
            <w:r w:rsidRPr="00EB3995">
              <w:rPr>
                <w:rFonts w:cs="Arial"/>
                <w:i/>
                <w:iCs/>
                <w:szCs w:val="16"/>
              </w:rPr>
              <w:t>Prosecution Policy of the Commonwealth</w:t>
            </w:r>
            <w:r w:rsidRPr="00EB3995">
              <w:rPr>
                <w:rFonts w:cs="Arial"/>
                <w:szCs w:val="16"/>
              </w:rPr>
              <w:t xml:space="preserve">, namely the existence of a </w:t>
            </w:r>
            <w:r w:rsidRPr="00EB3995">
              <w:rPr>
                <w:rFonts w:cs="Arial"/>
                <w:i/>
                <w:iCs/>
                <w:szCs w:val="16"/>
              </w:rPr>
              <w:t>prima facie</w:t>
            </w:r>
            <w:r w:rsidRPr="00EB3995">
              <w:rPr>
                <w:rFonts w:cs="Arial"/>
                <w:szCs w:val="16"/>
              </w:rPr>
              <w:t xml:space="preserve"> case, reasonable prospects of conviction and that prosecution is required in the public interest, when deciding to commence or continue a prosecution.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758EB196" w14:textId="6646543A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100%</w:t>
            </w:r>
          </w:p>
        </w:tc>
      </w:tr>
      <w:tr w:rsidR="002B41F9" w:rsidRPr="00EB3995" w14:paraId="1B2E3D0E" w14:textId="77777777" w:rsidTr="002B41F9">
        <w:trPr>
          <w:cantSplit/>
          <w:trHeight w:val="739"/>
        </w:trPr>
        <w:tc>
          <w:tcPr>
            <w:tcW w:w="1560" w:type="dxa"/>
            <w:vMerge/>
            <w:tcBorders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C98E0FC" w14:textId="50B5F88C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4FFBEF60" w14:textId="16919D41" w:rsidR="002B41F9" w:rsidRPr="00EB3995" w:rsidDel="003F67FF" w:rsidRDefault="002B41F9" w:rsidP="002B41F9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Prosecutions resulting in a finding of guilt (defended matters). Percentage of the total number of defendants found guilty in defended matters.</w:t>
            </w: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F1B08D3" w14:textId="5B79646D" w:rsidR="002B41F9" w:rsidRPr="00EB3995" w:rsidDel="00000CE0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70% or greater</w:t>
            </w:r>
          </w:p>
        </w:tc>
      </w:tr>
      <w:tr w:rsidR="002B41F9" w:rsidRPr="00EB3995" w14:paraId="7EFBB8C8" w14:textId="77777777" w:rsidTr="007A5472">
        <w:trPr>
          <w:cantSplit/>
          <w:trHeight w:val="553"/>
        </w:trPr>
        <w:tc>
          <w:tcPr>
            <w:tcW w:w="1560" w:type="dxa"/>
            <w:vMerge w:val="restart"/>
            <w:tcBorders>
              <w:top w:val="dotted" w:sz="4" w:space="0" w:color="auto"/>
              <w:left w:val="single" w:sz="4" w:space="0" w:color="auto"/>
              <w:right w:val="single" w:sz="4" w:space="0" w:color="auto"/>
            </w:tcBorders>
          </w:tcPr>
          <w:p w14:paraId="40C85908" w14:textId="796615A9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>
              <w:rPr>
                <w:rFonts w:cs="Arial"/>
                <w:szCs w:val="16"/>
              </w:rPr>
              <w:lastRenderedPageBreak/>
              <w:t xml:space="preserve">Budget Year </w:t>
            </w:r>
            <w:r w:rsidRPr="00EB3995">
              <w:rPr>
                <w:rFonts w:cs="Arial"/>
                <w:szCs w:val="16"/>
              </w:rPr>
              <w:t>2025–26</w:t>
            </w:r>
            <w:r>
              <w:rPr>
                <w:rFonts w:cs="Arial"/>
                <w:szCs w:val="16"/>
              </w:rPr>
              <w:t xml:space="preserve"> continued</w:t>
            </w: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10C5156" w14:textId="21BCBA7E" w:rsidR="002B41F9" w:rsidRPr="00EB3995" w:rsidDel="003F67FF" w:rsidRDefault="002B41F9" w:rsidP="00D31ACA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Prosecutions resulting in a finding of guilt (total matters). Percentage of the total number of defendants found guilty.</w:t>
            </w: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30992A62" w14:textId="525E82E5" w:rsidR="002B41F9" w:rsidRPr="00EB3995" w:rsidDel="00000CE0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90% or greater</w:t>
            </w:r>
          </w:p>
        </w:tc>
      </w:tr>
      <w:tr w:rsidR="002B41F9" w:rsidRPr="00EB3995" w14:paraId="6F35F9D4" w14:textId="77777777" w:rsidTr="007A5472">
        <w:trPr>
          <w:cantSplit/>
          <w:trHeight w:val="782"/>
        </w:trPr>
        <w:tc>
          <w:tcPr>
            <w:tcW w:w="15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832C1E7" w14:textId="6A0672DF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E457A61" w14:textId="1E8C18E0" w:rsidR="002B41F9" w:rsidRPr="00EB3995" w:rsidDel="003F67FF" w:rsidRDefault="002B41F9" w:rsidP="002A538A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Partner agency satisfaction with CDPP service delivery.</w:t>
            </w:r>
          </w:p>
        </w:tc>
        <w:tc>
          <w:tcPr>
            <w:tcW w:w="3118" w:type="dxa"/>
            <w:tcBorders>
              <w:top w:val="dotted" w:sz="4" w:space="0" w:color="auto"/>
              <w:left w:val="single" w:sz="4" w:space="0" w:color="auto"/>
              <w:bottom w:val="single" w:sz="4" w:space="0" w:color="auto"/>
            </w:tcBorders>
          </w:tcPr>
          <w:p w14:paraId="0C947D1D" w14:textId="77777777" w:rsidR="002B41F9" w:rsidRPr="00EB3995" w:rsidRDefault="002B41F9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Target – 90% or greater</w:t>
            </w:r>
          </w:p>
          <w:p w14:paraId="7A74D5AB" w14:textId="45D89F3E" w:rsidR="002B41F9" w:rsidRPr="00EB3995" w:rsidDel="00000CE0" w:rsidRDefault="002B41F9" w:rsidP="00D31ACA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The survey is scheduled to be conducted in May/June 2026. Results will be published in the 2025-26 annual performance statements. (b)</w:t>
            </w:r>
          </w:p>
        </w:tc>
      </w:tr>
      <w:tr w:rsidR="00B12DAB" w:rsidRPr="00EB3995" w14:paraId="1B2E4104" w14:textId="77777777" w:rsidTr="00CA7E96">
        <w:trPr>
          <w:cantSplit/>
          <w:trHeight w:val="491"/>
        </w:trPr>
        <w:tc>
          <w:tcPr>
            <w:tcW w:w="1560" w:type="dxa"/>
            <w:tcBorders>
              <w:top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6DFF9EE0" w14:textId="77777777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 xml:space="preserve">Forward Estimates </w:t>
            </w:r>
          </w:p>
          <w:p w14:paraId="027EF7BB" w14:textId="77777777" w:rsidR="007D0ADA" w:rsidRPr="00EB3995" w:rsidRDefault="007D0ADA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szCs w:val="16"/>
              </w:rPr>
              <w:t>2026–29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  <w:right w:val="single" w:sz="4" w:space="0" w:color="auto"/>
            </w:tcBorders>
          </w:tcPr>
          <w:p w14:paraId="07EED2CB" w14:textId="319182C9" w:rsidR="007D0ADA" w:rsidRPr="0007408A" w:rsidRDefault="00B01F1F" w:rsidP="00D31ACA">
            <w:pPr>
              <w:pStyle w:val="TableTextBase"/>
              <w:spacing w:before="40" w:after="120"/>
              <w:rPr>
                <w:rFonts w:cs="Arial"/>
                <w:szCs w:val="16"/>
              </w:rPr>
            </w:pPr>
            <w:r w:rsidRPr="00EB3995">
              <w:rPr>
                <w:rFonts w:cs="Arial"/>
                <w:szCs w:val="16"/>
              </w:rPr>
              <w:t>As per 2025-26</w:t>
            </w:r>
            <w:r w:rsidR="00C31C6D" w:rsidRPr="00EB3995">
              <w:rPr>
                <w:rFonts w:cs="Arial"/>
                <w:szCs w:val="16"/>
              </w:rPr>
              <w:t xml:space="preserve"> with the partner agency satisfaction with CDPP </w:t>
            </w:r>
            <w:r w:rsidR="00A07A72" w:rsidRPr="00EB3995">
              <w:rPr>
                <w:rFonts w:cs="Arial"/>
                <w:szCs w:val="16"/>
              </w:rPr>
              <w:t>service delivery (every 2 years).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dotted" w:sz="4" w:space="0" w:color="auto"/>
            </w:tcBorders>
          </w:tcPr>
          <w:p w14:paraId="701971C3" w14:textId="3689C519" w:rsidR="007D0ADA" w:rsidRPr="00EB3995" w:rsidRDefault="007D4156" w:rsidP="00AE59F5">
            <w:pPr>
              <w:pStyle w:val="TableTextBase"/>
              <w:spacing w:before="40" w:after="40"/>
              <w:rPr>
                <w:rFonts w:cs="Arial"/>
                <w:b/>
                <w:szCs w:val="16"/>
              </w:rPr>
            </w:pPr>
            <w:r w:rsidRPr="00EB3995">
              <w:rPr>
                <w:rFonts w:cs="Arial"/>
                <w:szCs w:val="16"/>
              </w:rPr>
              <w:t>Targets remain consistent over the 4 forward years.</w:t>
            </w:r>
          </w:p>
        </w:tc>
      </w:tr>
      <w:tr w:rsidR="00B12DAB" w:rsidRPr="00EB3995" w14:paraId="65E2D263" w14:textId="77777777" w:rsidTr="008B7C64">
        <w:trPr>
          <w:cantSplit/>
          <w:trHeight w:val="261"/>
        </w:trPr>
        <w:tc>
          <w:tcPr>
            <w:tcW w:w="7796" w:type="dxa"/>
            <w:gridSpan w:val="3"/>
          </w:tcPr>
          <w:p w14:paraId="5880F278" w14:textId="76A24F15" w:rsidR="007D0ADA" w:rsidRPr="00EB3995" w:rsidRDefault="007D0ADA" w:rsidP="00E65EEB">
            <w:pPr>
              <w:pStyle w:val="TableTextBase"/>
              <w:spacing w:before="40" w:after="40"/>
              <w:rPr>
                <w:rFonts w:eastAsia="Cambria" w:cs="Arial"/>
                <w:spacing w:val="-6"/>
                <w:szCs w:val="16"/>
              </w:rPr>
            </w:pPr>
            <w:r w:rsidRPr="00EB3995">
              <w:rPr>
                <w:rFonts w:cs="Arial"/>
                <w:szCs w:val="16"/>
              </w:rPr>
              <w:t xml:space="preserve">Material changes to Program </w:t>
            </w:r>
            <w:r w:rsidR="00B511C3" w:rsidRPr="00EB3995">
              <w:rPr>
                <w:rFonts w:cs="Arial"/>
                <w:szCs w:val="16"/>
              </w:rPr>
              <w:t>1</w:t>
            </w:r>
            <w:r w:rsidRPr="00EB3995">
              <w:rPr>
                <w:rFonts w:cs="Arial"/>
                <w:szCs w:val="16"/>
              </w:rPr>
              <w:t>.</w:t>
            </w:r>
            <w:r w:rsidR="00B511C3" w:rsidRPr="00EB3995">
              <w:rPr>
                <w:rFonts w:cs="Arial"/>
                <w:szCs w:val="16"/>
              </w:rPr>
              <w:t>1</w:t>
            </w:r>
            <w:r w:rsidRPr="00EB3995">
              <w:rPr>
                <w:rFonts w:cs="Arial"/>
                <w:szCs w:val="16"/>
              </w:rPr>
              <w:t xml:space="preserve"> resulting from 2025–26 Budget Measures:</w:t>
            </w:r>
            <w:r w:rsidRPr="00EB3995">
              <w:rPr>
                <w:rStyle w:val="BodyTextChar"/>
                <w:rFonts w:ascii="Arial" w:hAnsi="Arial" w:cs="Arial"/>
                <w:spacing w:val="-6"/>
                <w:sz w:val="16"/>
                <w:szCs w:val="16"/>
              </w:rPr>
              <w:t xml:space="preserve"> </w:t>
            </w:r>
            <w:r w:rsidR="00B511C3" w:rsidRPr="00EB3995">
              <w:rPr>
                <w:rStyle w:val="BodyTextChar"/>
                <w:rFonts w:ascii="Arial" w:hAnsi="Arial" w:cs="Arial"/>
                <w:spacing w:val="-6"/>
                <w:sz w:val="16"/>
                <w:szCs w:val="16"/>
              </w:rPr>
              <w:t>N</w:t>
            </w:r>
            <w:r w:rsidR="00B511C3" w:rsidRPr="00EB3995">
              <w:rPr>
                <w:rStyle w:val="BodyTextChar"/>
                <w:rFonts w:ascii="Arial" w:hAnsi="Arial"/>
                <w:spacing w:val="-6"/>
                <w:sz w:val="16"/>
              </w:rPr>
              <w:t>il</w:t>
            </w:r>
          </w:p>
        </w:tc>
      </w:tr>
    </w:tbl>
    <w:p w14:paraId="5ECC2C8F" w14:textId="77777777" w:rsidR="008813D4" w:rsidRDefault="00C91DBD" w:rsidP="008813D4">
      <w:pPr>
        <w:pStyle w:val="ChartandTableFootnoteAlpha"/>
        <w:numPr>
          <w:ilvl w:val="0"/>
          <w:numId w:val="49"/>
        </w:numPr>
      </w:pPr>
      <w:r w:rsidRPr="00EB3995">
        <w:t>Target percentage was reported incorrectly in the 2024</w:t>
      </w:r>
      <w:r w:rsidR="00145EA1" w:rsidRPr="00EB3995">
        <w:rPr>
          <w:rFonts w:cs="Arial"/>
        </w:rPr>
        <w:t>–</w:t>
      </w:r>
      <w:r w:rsidRPr="00EB3995">
        <w:t>25 Portfolio Budget Statements.</w:t>
      </w:r>
    </w:p>
    <w:p w14:paraId="2425A624" w14:textId="23D28885" w:rsidR="0038172F" w:rsidRPr="00EB3995" w:rsidRDefault="0038172F" w:rsidP="008813D4">
      <w:pPr>
        <w:pStyle w:val="ChartandTableFootnoteAlpha"/>
        <w:numPr>
          <w:ilvl w:val="0"/>
          <w:numId w:val="49"/>
        </w:numPr>
      </w:pPr>
      <w:r w:rsidRPr="00EB3995">
        <w:t>Target was not included in the 2024</w:t>
      </w:r>
      <w:r w:rsidR="00145EA1" w:rsidRPr="008813D4">
        <w:rPr>
          <w:rFonts w:cs="Arial"/>
        </w:rPr>
        <w:t>–</w:t>
      </w:r>
      <w:r w:rsidRPr="00EB3995">
        <w:t>25 Portfolio Budget Statements</w:t>
      </w:r>
      <w:r w:rsidR="0097672E" w:rsidRPr="00EB3995">
        <w:t>. The partner agency survey will be conducted every 2 years with results published in the following year’s annual performance statements</w:t>
      </w:r>
      <w:r w:rsidR="00055221" w:rsidRPr="00EB3995">
        <w:t>.</w:t>
      </w:r>
    </w:p>
    <w:p w14:paraId="07FC8EB1" w14:textId="77777777" w:rsidR="003C317B" w:rsidRDefault="003C317B">
      <w:pPr>
        <w:spacing w:before="0" w:after="0" w:line="240" w:lineRule="auto"/>
        <w:rPr>
          <w:rFonts w:ascii="Arial Bold" w:hAnsi="Arial Bold"/>
          <w:b/>
          <w:sz w:val="26"/>
        </w:rPr>
      </w:pPr>
      <w:bookmarkStart w:id="28" w:name="_Toc444523516"/>
      <w:bookmarkStart w:id="29" w:name="_Toc65243511"/>
      <w:r>
        <w:br w:type="page"/>
      </w:r>
    </w:p>
    <w:p w14:paraId="52CD0D12" w14:textId="59A41D15" w:rsidR="002F530C" w:rsidRPr="0060135C" w:rsidRDefault="002F530C" w:rsidP="00356893">
      <w:pPr>
        <w:pStyle w:val="Heading2"/>
        <w:spacing w:before="0"/>
      </w:pPr>
      <w:r w:rsidRPr="0060135C">
        <w:lastRenderedPageBreak/>
        <w:t>Section 3: Budgeted financial statements</w:t>
      </w:r>
      <w:bookmarkEnd w:id="28"/>
      <w:bookmarkEnd w:id="29"/>
    </w:p>
    <w:p w14:paraId="1F7B5C02" w14:textId="54035CB4" w:rsidR="00A6388E" w:rsidRPr="0060135C" w:rsidRDefault="00CF5085" w:rsidP="005328A9">
      <w:r w:rsidRPr="0060135C">
        <w:t>Section 3</w:t>
      </w:r>
      <w:r w:rsidR="0027614D" w:rsidRPr="0060135C">
        <w:t xml:space="preserve"> presents budgeted financial statements which provide a comprehensive snapshot of</w:t>
      </w:r>
      <w:r w:rsidR="001B03CC" w:rsidRPr="0060135C">
        <w:t xml:space="preserve"> entity </w:t>
      </w:r>
      <w:r w:rsidR="0027614D" w:rsidRPr="0060135C">
        <w:t xml:space="preserve">finances for the </w:t>
      </w:r>
      <w:r w:rsidR="0029106B" w:rsidRPr="0060135C">
        <w:t>202</w:t>
      </w:r>
      <w:r w:rsidR="00EC339E" w:rsidRPr="0060135C">
        <w:t>5</w:t>
      </w:r>
      <w:r w:rsidR="00EC33E6" w:rsidRPr="0060135C">
        <w:t>–</w:t>
      </w:r>
      <w:r w:rsidR="0029106B" w:rsidRPr="0060135C">
        <w:t>2</w:t>
      </w:r>
      <w:r w:rsidR="00EC339E" w:rsidRPr="0060135C">
        <w:t>6</w:t>
      </w:r>
      <w:r w:rsidR="002E59C4" w:rsidRPr="0060135C">
        <w:rPr>
          <w:color w:val="00B050"/>
        </w:rPr>
        <w:t xml:space="preserve"> </w:t>
      </w:r>
      <w:r w:rsidR="0027614D" w:rsidRPr="0060135C">
        <w:t>budget year</w:t>
      </w:r>
      <w:r w:rsidR="007118AC" w:rsidRPr="0060135C">
        <w:t>, including the impact of budget measures and resourcing on financial statements</w:t>
      </w:r>
      <w:r w:rsidR="00B04964" w:rsidRPr="0060135C">
        <w:t>.</w:t>
      </w:r>
    </w:p>
    <w:p w14:paraId="5A8584DA" w14:textId="77777777" w:rsidR="00E4582E" w:rsidRPr="0060135C" w:rsidRDefault="007118AC" w:rsidP="005328A9">
      <w:pPr>
        <w:pStyle w:val="Heading3"/>
      </w:pPr>
      <w:bookmarkStart w:id="30" w:name="_Toc190682317"/>
      <w:bookmarkStart w:id="31" w:name="_Toc444523517"/>
      <w:bookmarkStart w:id="32" w:name="_Toc65243512"/>
      <w:r w:rsidRPr="0060135C">
        <w:t>3.1</w:t>
      </w:r>
      <w:r w:rsidR="00E4582E" w:rsidRPr="0060135C">
        <w:tab/>
        <w:t>Budgeted financial statements</w:t>
      </w:r>
      <w:bookmarkEnd w:id="30"/>
      <w:bookmarkEnd w:id="31"/>
      <w:bookmarkEnd w:id="32"/>
    </w:p>
    <w:p w14:paraId="4F468E03" w14:textId="77777777" w:rsidR="00E4582E" w:rsidRPr="0060135C" w:rsidRDefault="00A23BC2" w:rsidP="00E4582E">
      <w:pPr>
        <w:pStyle w:val="Heading4"/>
      </w:pPr>
      <w:r w:rsidRPr="0060135C">
        <w:t>3.</w:t>
      </w:r>
      <w:r w:rsidR="007118AC" w:rsidRPr="0060135C">
        <w:t>1</w:t>
      </w:r>
      <w:r w:rsidRPr="0060135C">
        <w:t>.1</w:t>
      </w:r>
      <w:r w:rsidR="005F29CD" w:rsidRPr="0060135C">
        <w:tab/>
      </w:r>
      <w:r w:rsidR="00E4582E" w:rsidRPr="0060135C">
        <w:t xml:space="preserve">Differences </w:t>
      </w:r>
      <w:r w:rsidR="007118AC" w:rsidRPr="0060135C">
        <w:t>between</w:t>
      </w:r>
      <w:r w:rsidR="00E4582E" w:rsidRPr="0060135C">
        <w:t xml:space="preserve"> </w:t>
      </w:r>
      <w:r w:rsidR="000216BF" w:rsidRPr="0060135C">
        <w:t>entity resourcing and financial statements</w:t>
      </w:r>
    </w:p>
    <w:p w14:paraId="183284C8" w14:textId="6E337588" w:rsidR="00D355E7" w:rsidRPr="0060135C" w:rsidRDefault="004B1BF2" w:rsidP="00356893">
      <w:r w:rsidRPr="0060135C">
        <w:t xml:space="preserve">There </w:t>
      </w:r>
      <w:r w:rsidR="006E314A">
        <w:t>is</w:t>
      </w:r>
      <w:r w:rsidRPr="0060135C">
        <w:t xml:space="preserve"> no material difference between </w:t>
      </w:r>
      <w:r w:rsidR="00C10FDC">
        <w:t xml:space="preserve">the </w:t>
      </w:r>
      <w:r w:rsidRPr="0060135C">
        <w:t>entity resourcing and financial statements</w:t>
      </w:r>
      <w:r w:rsidR="00D355E7" w:rsidRPr="0060135C">
        <w:t>.</w:t>
      </w:r>
    </w:p>
    <w:p w14:paraId="711B4D5D" w14:textId="77777777" w:rsidR="00E4582E" w:rsidRPr="0060135C" w:rsidRDefault="00A23BC2" w:rsidP="00E4582E">
      <w:pPr>
        <w:pStyle w:val="Heading4"/>
      </w:pPr>
      <w:r w:rsidRPr="0060135C">
        <w:t>3.</w:t>
      </w:r>
      <w:r w:rsidR="007118AC" w:rsidRPr="0060135C">
        <w:t>1</w:t>
      </w:r>
      <w:r w:rsidRPr="0060135C">
        <w:t>.2</w:t>
      </w:r>
      <w:r w:rsidR="005F29CD" w:rsidRPr="0060135C">
        <w:tab/>
      </w:r>
      <w:r w:rsidR="003B7C64" w:rsidRPr="0060135C">
        <w:t xml:space="preserve">Explanatory notes and analysis </w:t>
      </w:r>
      <w:r w:rsidR="00E4582E" w:rsidRPr="0060135C">
        <w:t xml:space="preserve">of </w:t>
      </w:r>
      <w:r w:rsidR="000216BF" w:rsidRPr="0060135C">
        <w:t>budgeted financial statements</w:t>
      </w:r>
    </w:p>
    <w:p w14:paraId="3301E329" w14:textId="7896A732" w:rsidR="008E0F4E" w:rsidRPr="0060135C" w:rsidRDefault="008E0F4E" w:rsidP="007F7E83">
      <w:pPr>
        <w:pStyle w:val="ExampleText0"/>
        <w:spacing w:after="160"/>
        <w:rPr>
          <w:i w:val="0"/>
          <w:iCs/>
          <w:color w:val="auto"/>
        </w:rPr>
      </w:pPr>
      <w:bookmarkStart w:id="33" w:name="_Hlk190076326"/>
      <w:r w:rsidRPr="0060135C">
        <w:rPr>
          <w:i w:val="0"/>
          <w:iCs/>
          <w:color w:val="auto"/>
        </w:rPr>
        <w:t xml:space="preserve">The </w:t>
      </w:r>
      <w:r w:rsidR="0074002A" w:rsidRPr="0060135C">
        <w:rPr>
          <w:i w:val="0"/>
          <w:iCs/>
          <w:color w:val="auto"/>
        </w:rPr>
        <w:t>C</w:t>
      </w:r>
      <w:r w:rsidRPr="0060135C">
        <w:rPr>
          <w:i w:val="0"/>
          <w:iCs/>
          <w:color w:val="auto"/>
        </w:rPr>
        <w:t>DPP revenue from Government in 2025</w:t>
      </w:r>
      <w:r w:rsidR="003D0345" w:rsidRPr="0060135C">
        <w:rPr>
          <w:i w:val="0"/>
          <w:iCs/>
          <w:color w:val="auto"/>
        </w:rPr>
        <w:t>–</w:t>
      </w:r>
      <w:r w:rsidRPr="0060135C">
        <w:rPr>
          <w:i w:val="0"/>
          <w:iCs/>
          <w:color w:val="auto"/>
        </w:rPr>
        <w:t>26 is $</w:t>
      </w:r>
      <w:r w:rsidR="00A24596" w:rsidRPr="0060135C">
        <w:rPr>
          <w:i w:val="0"/>
          <w:iCs/>
          <w:color w:val="auto"/>
        </w:rPr>
        <w:t>12</w:t>
      </w:r>
      <w:r w:rsidR="00755B9A" w:rsidRPr="0060135C">
        <w:rPr>
          <w:i w:val="0"/>
          <w:iCs/>
          <w:color w:val="auto"/>
        </w:rPr>
        <w:t>8</w:t>
      </w:r>
      <w:r w:rsidR="00A24596" w:rsidRPr="0060135C">
        <w:rPr>
          <w:i w:val="0"/>
          <w:iCs/>
          <w:color w:val="auto"/>
        </w:rPr>
        <w:t>.</w:t>
      </w:r>
      <w:r w:rsidR="00755B9A" w:rsidRPr="0060135C">
        <w:rPr>
          <w:i w:val="0"/>
          <w:iCs/>
          <w:color w:val="auto"/>
        </w:rPr>
        <w:t>3</w:t>
      </w:r>
      <w:r w:rsidRPr="0060135C">
        <w:rPr>
          <w:i w:val="0"/>
          <w:iCs/>
          <w:color w:val="auto"/>
        </w:rPr>
        <w:t xml:space="preserve"> million, which is a </w:t>
      </w:r>
      <w:r w:rsidR="00A24596" w:rsidRPr="0060135C">
        <w:rPr>
          <w:i w:val="0"/>
          <w:iCs/>
          <w:color w:val="auto"/>
        </w:rPr>
        <w:t>de</w:t>
      </w:r>
      <w:r w:rsidRPr="0060135C">
        <w:rPr>
          <w:i w:val="0"/>
          <w:iCs/>
          <w:color w:val="auto"/>
        </w:rPr>
        <w:t>crease of $</w:t>
      </w:r>
      <w:r w:rsidR="00755B9A" w:rsidRPr="0060135C">
        <w:rPr>
          <w:i w:val="0"/>
          <w:iCs/>
          <w:color w:val="auto"/>
        </w:rPr>
        <w:t>2</w:t>
      </w:r>
      <w:r w:rsidR="005A6A76" w:rsidRPr="0060135C">
        <w:rPr>
          <w:i w:val="0"/>
          <w:iCs/>
          <w:color w:val="auto"/>
        </w:rPr>
        <w:t>.</w:t>
      </w:r>
      <w:r w:rsidR="00791F84" w:rsidRPr="0060135C">
        <w:rPr>
          <w:i w:val="0"/>
          <w:iCs/>
          <w:color w:val="auto"/>
        </w:rPr>
        <w:t>5</w:t>
      </w:r>
      <w:r w:rsidRPr="0060135C">
        <w:rPr>
          <w:i w:val="0"/>
          <w:iCs/>
          <w:color w:val="auto"/>
        </w:rPr>
        <w:t xml:space="preserve"> million when compared to 2024</w:t>
      </w:r>
      <w:r w:rsidR="00145EA1" w:rsidRPr="0060135C">
        <w:rPr>
          <w:i w:val="0"/>
          <w:iCs/>
          <w:color w:val="auto"/>
        </w:rPr>
        <w:t>–</w:t>
      </w:r>
      <w:r w:rsidRPr="0060135C">
        <w:rPr>
          <w:i w:val="0"/>
          <w:iCs/>
          <w:color w:val="auto"/>
        </w:rPr>
        <w:t>25 ($</w:t>
      </w:r>
      <w:r w:rsidR="005A6A76" w:rsidRPr="0060135C">
        <w:rPr>
          <w:i w:val="0"/>
          <w:iCs/>
          <w:color w:val="auto"/>
        </w:rPr>
        <w:t>130.8</w:t>
      </w:r>
      <w:r w:rsidRPr="0060135C">
        <w:rPr>
          <w:i w:val="0"/>
          <w:iCs/>
          <w:color w:val="auto"/>
        </w:rPr>
        <w:t xml:space="preserve"> million). The </w:t>
      </w:r>
      <w:r w:rsidR="005A6A76" w:rsidRPr="0060135C">
        <w:rPr>
          <w:i w:val="0"/>
          <w:iCs/>
          <w:color w:val="auto"/>
        </w:rPr>
        <w:t>de</w:t>
      </w:r>
      <w:r w:rsidRPr="0060135C">
        <w:rPr>
          <w:i w:val="0"/>
          <w:iCs/>
          <w:color w:val="auto"/>
        </w:rPr>
        <w:t>crease is predominantly due to</w:t>
      </w:r>
      <w:r w:rsidR="005A6A76" w:rsidRPr="0060135C">
        <w:rPr>
          <w:i w:val="0"/>
          <w:iCs/>
          <w:color w:val="auto"/>
        </w:rPr>
        <w:t xml:space="preserve"> </w:t>
      </w:r>
      <w:r w:rsidR="0067161C" w:rsidRPr="0060135C">
        <w:rPr>
          <w:i w:val="0"/>
          <w:iCs/>
          <w:color w:val="auto"/>
        </w:rPr>
        <w:t xml:space="preserve">terminating </w:t>
      </w:r>
      <w:r w:rsidR="00C70F0A" w:rsidRPr="0060135C">
        <w:rPr>
          <w:i w:val="0"/>
          <w:iCs/>
          <w:color w:val="auto"/>
        </w:rPr>
        <w:t xml:space="preserve">Budget measures </w:t>
      </w:r>
      <w:r w:rsidR="005A6A76" w:rsidRPr="0060135C">
        <w:rPr>
          <w:i w:val="0"/>
          <w:iCs/>
          <w:color w:val="auto"/>
        </w:rPr>
        <w:t>offset</w:t>
      </w:r>
      <w:r w:rsidR="00C70F0A" w:rsidRPr="0060135C">
        <w:rPr>
          <w:i w:val="0"/>
          <w:iCs/>
          <w:color w:val="auto"/>
        </w:rPr>
        <w:t xml:space="preserve"> slightly</w:t>
      </w:r>
      <w:r w:rsidR="005A6A76" w:rsidRPr="0060135C">
        <w:rPr>
          <w:i w:val="0"/>
          <w:iCs/>
          <w:color w:val="auto"/>
        </w:rPr>
        <w:t xml:space="preserve"> by</w:t>
      </w:r>
      <w:r w:rsidRPr="0060135C">
        <w:rPr>
          <w:i w:val="0"/>
          <w:iCs/>
          <w:color w:val="auto"/>
        </w:rPr>
        <w:t xml:space="preserve"> new and extended 2025</w:t>
      </w:r>
      <w:r w:rsidR="003D0345" w:rsidRPr="0060135C">
        <w:rPr>
          <w:i w:val="0"/>
          <w:iCs/>
          <w:color w:val="auto"/>
        </w:rPr>
        <w:t>–</w:t>
      </w:r>
      <w:r w:rsidRPr="0060135C">
        <w:rPr>
          <w:i w:val="0"/>
          <w:iCs/>
          <w:color w:val="auto"/>
        </w:rPr>
        <w:t xml:space="preserve">26 Budget measures, as detailed in Table 1.2: </w:t>
      </w:r>
      <w:r w:rsidR="0074002A" w:rsidRPr="0060135C">
        <w:rPr>
          <w:i w:val="0"/>
          <w:iCs/>
          <w:color w:val="auto"/>
        </w:rPr>
        <w:t>C</w:t>
      </w:r>
      <w:r w:rsidRPr="0060135C">
        <w:rPr>
          <w:i w:val="0"/>
          <w:iCs/>
          <w:color w:val="auto"/>
        </w:rPr>
        <w:t>DPP 2025</w:t>
      </w:r>
      <w:r w:rsidR="00145EA1" w:rsidRPr="0060135C">
        <w:rPr>
          <w:i w:val="0"/>
          <w:iCs/>
          <w:color w:val="auto"/>
        </w:rPr>
        <w:t>–</w:t>
      </w:r>
      <w:r w:rsidRPr="0060135C">
        <w:rPr>
          <w:i w:val="0"/>
          <w:iCs/>
          <w:color w:val="auto"/>
        </w:rPr>
        <w:t>26 Budget measures.</w:t>
      </w:r>
    </w:p>
    <w:p w14:paraId="5E60AA3E" w14:textId="143F23FF" w:rsidR="008E0F4E" w:rsidRDefault="008E0F4E" w:rsidP="007F7E83">
      <w:pPr>
        <w:pStyle w:val="ExampleText0"/>
        <w:spacing w:after="160"/>
        <w:rPr>
          <w:i w:val="0"/>
          <w:iCs/>
          <w:color w:val="auto"/>
        </w:rPr>
      </w:pPr>
      <w:r w:rsidRPr="0060135C">
        <w:rPr>
          <w:i w:val="0"/>
          <w:iCs/>
          <w:color w:val="auto"/>
        </w:rPr>
        <w:t xml:space="preserve">The </w:t>
      </w:r>
      <w:r w:rsidR="0074002A" w:rsidRPr="0060135C">
        <w:rPr>
          <w:i w:val="0"/>
          <w:iCs/>
          <w:color w:val="auto"/>
        </w:rPr>
        <w:t>C</w:t>
      </w:r>
      <w:r w:rsidRPr="0060135C">
        <w:rPr>
          <w:i w:val="0"/>
          <w:iCs/>
          <w:color w:val="auto"/>
        </w:rPr>
        <w:t>DPP is budgeting for a break-even operating result in 202</w:t>
      </w:r>
      <w:r w:rsidR="00C07C61" w:rsidRPr="0060135C">
        <w:rPr>
          <w:i w:val="0"/>
          <w:iCs/>
          <w:color w:val="auto"/>
        </w:rPr>
        <w:t>5</w:t>
      </w:r>
      <w:r w:rsidR="00145EA1" w:rsidRPr="0060135C">
        <w:rPr>
          <w:i w:val="0"/>
          <w:iCs/>
          <w:color w:val="auto"/>
        </w:rPr>
        <w:t>–</w:t>
      </w:r>
      <w:r w:rsidRPr="0060135C">
        <w:rPr>
          <w:i w:val="0"/>
          <w:iCs/>
          <w:color w:val="auto"/>
        </w:rPr>
        <w:t>2</w:t>
      </w:r>
      <w:r w:rsidR="00C07C61" w:rsidRPr="0060135C">
        <w:rPr>
          <w:i w:val="0"/>
          <w:iCs/>
          <w:color w:val="auto"/>
        </w:rPr>
        <w:t>6</w:t>
      </w:r>
      <w:r w:rsidRPr="0060135C">
        <w:rPr>
          <w:i w:val="0"/>
          <w:iCs/>
          <w:color w:val="auto"/>
        </w:rPr>
        <w:t xml:space="preserve"> and over the forward estimates after taking into account unfunded </w:t>
      </w:r>
      <w:r w:rsidR="00D9207E" w:rsidRPr="0060135C">
        <w:rPr>
          <w:i w:val="0"/>
          <w:iCs/>
          <w:color w:val="auto"/>
        </w:rPr>
        <w:t xml:space="preserve">depreciation </w:t>
      </w:r>
      <w:r w:rsidRPr="0060135C">
        <w:rPr>
          <w:i w:val="0"/>
          <w:iCs/>
          <w:color w:val="auto"/>
        </w:rPr>
        <w:t xml:space="preserve">expenses, </w:t>
      </w:r>
      <w:r w:rsidR="00D9207E" w:rsidRPr="0060135C">
        <w:rPr>
          <w:i w:val="0"/>
          <w:iCs/>
          <w:color w:val="auto"/>
        </w:rPr>
        <w:t xml:space="preserve">amortisation </w:t>
      </w:r>
      <w:r w:rsidRPr="0060135C">
        <w:rPr>
          <w:i w:val="0"/>
          <w:iCs/>
          <w:color w:val="auto"/>
        </w:rPr>
        <w:t>expenses and the Australian Accounting Standards for leases.</w:t>
      </w:r>
    </w:p>
    <w:bookmarkEnd w:id="33"/>
    <w:p w14:paraId="6CC5A641" w14:textId="77777777" w:rsidR="00E4582E" w:rsidRPr="0060135C" w:rsidRDefault="000A6897" w:rsidP="00BA101F">
      <w:pPr>
        <w:pStyle w:val="Heading3"/>
        <w:rPr>
          <w:rStyle w:val="TableHeadingChar"/>
          <w:rFonts w:ascii="Arial Bold" w:hAnsi="Arial Bold"/>
          <w:b/>
          <w:bCs/>
        </w:rPr>
      </w:pPr>
      <w:r>
        <w:br w:type="page"/>
      </w:r>
      <w:bookmarkStart w:id="34" w:name="_Toc444523518"/>
      <w:r w:rsidR="00E4582E" w:rsidRPr="029FCC3C">
        <w:rPr>
          <w:rStyle w:val="TableHeadingChar"/>
          <w:rFonts w:ascii="Arial Bold" w:hAnsi="Arial Bold"/>
          <w:b/>
          <w:bCs/>
        </w:rPr>
        <w:lastRenderedPageBreak/>
        <w:t>3.2.</w:t>
      </w:r>
      <w:r>
        <w:tab/>
      </w:r>
      <w:r w:rsidR="00E4582E" w:rsidRPr="00BA101F">
        <w:t>Budgeted</w:t>
      </w:r>
      <w:r w:rsidR="00E4582E" w:rsidRPr="0060135C">
        <w:rPr>
          <w:rStyle w:val="TableHeadingChar"/>
          <w:rFonts w:ascii="Arial Bold" w:hAnsi="Arial Bold"/>
          <w:b/>
          <w:bCs/>
        </w:rPr>
        <w:t xml:space="preserve"> </w:t>
      </w:r>
      <w:r w:rsidR="00F626C2" w:rsidRPr="0060135C">
        <w:rPr>
          <w:rStyle w:val="TableHeadingChar"/>
          <w:rFonts w:ascii="Arial Bold" w:hAnsi="Arial Bold"/>
          <w:b/>
          <w:bCs/>
        </w:rPr>
        <w:t>financial statements tables</w:t>
      </w:r>
      <w:bookmarkEnd w:id="34"/>
    </w:p>
    <w:p w14:paraId="7A97590A" w14:textId="5DD0B70E" w:rsidR="00960553" w:rsidRPr="0060135C" w:rsidRDefault="00E855E0" w:rsidP="00960553">
      <w:pPr>
        <w:pStyle w:val="TableHeading"/>
        <w:rPr>
          <w:b w:val="0"/>
        </w:rPr>
      </w:pPr>
      <w:r w:rsidRPr="0060135C">
        <w:t>Table</w:t>
      </w:r>
      <w:r w:rsidR="00971CBF" w:rsidRPr="0060135C">
        <w:t xml:space="preserve"> 3.</w:t>
      </w:r>
      <w:r w:rsidRPr="0060135C">
        <w:t>1</w:t>
      </w:r>
      <w:r w:rsidR="001352EE" w:rsidRPr="0060135C">
        <w:t>:</w:t>
      </w:r>
      <w:r w:rsidRPr="0060135C">
        <w:t xml:space="preserve"> Comprehensive </w:t>
      </w:r>
      <w:r w:rsidR="00F626C2" w:rsidRPr="0060135C">
        <w:t>income statement (showing net cost of services</w:t>
      </w:r>
      <w:r w:rsidRPr="0060135C">
        <w:t>)</w:t>
      </w:r>
      <w:r w:rsidR="004A1224" w:rsidRPr="0060135C">
        <w:t xml:space="preserve"> </w:t>
      </w:r>
      <w:r w:rsidR="00E4582E" w:rsidRPr="0060135C">
        <w:rPr>
          <w:snapToGrid w:val="0"/>
        </w:rPr>
        <w:t>for the period ended 30 June</w:t>
      </w:r>
      <w:r w:rsidR="00960553" w:rsidRPr="0060135C">
        <w:rPr>
          <w:snapToGrid w:val="0"/>
        </w:rPr>
        <w:fldChar w:fldCharType="begin" w:fldLock="1"/>
      </w:r>
      <w:r w:rsidR="00960553" w:rsidRPr="0060135C">
        <w:rPr>
          <w:snapToGrid w:val="0"/>
        </w:rPr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3.1 CCE!R5C1:R43C6" \a \f 4 \h </w:instrText>
      </w:r>
      <w:r w:rsidR="00D15F79" w:rsidRPr="0060135C">
        <w:rPr>
          <w:snapToGrid w:val="0"/>
        </w:rPr>
        <w:instrText xml:space="preserve"> \* MERGEFORMAT </w:instrText>
      </w:r>
      <w:r w:rsidR="00960553" w:rsidRPr="0060135C">
        <w:rPr>
          <w:snapToGrid w:val="0"/>
        </w:rPr>
        <w:fldChar w:fldCharType="end"/>
      </w:r>
      <w:r w:rsidR="00960553" w:rsidRPr="0060135C">
        <w:fldChar w:fldCharType="begin" w:fldLock="1"/>
      </w:r>
      <w:r w:rsidR="00960553" w:rsidRPr="0060135C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3.1 NCCE!R4C1:R42C6" \a \f 4 \h </w:instrText>
      </w:r>
      <w:r w:rsidR="00D15F79" w:rsidRPr="0060135C">
        <w:instrText xml:space="preserve"> \* MERGEFORMAT </w:instrText>
      </w:r>
      <w:r w:rsidR="00960553" w:rsidRPr="0060135C">
        <w:fldChar w:fldCharType="end"/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3048"/>
        <w:gridCol w:w="932"/>
        <w:gridCol w:w="932"/>
        <w:gridCol w:w="933"/>
        <w:gridCol w:w="932"/>
        <w:gridCol w:w="933"/>
      </w:tblGrid>
      <w:tr w:rsidR="008720C5" w:rsidRPr="00673450" w14:paraId="6E86B689" w14:textId="77777777" w:rsidTr="004C3E46">
        <w:trPr>
          <w:trHeight w:val="558"/>
        </w:trPr>
        <w:tc>
          <w:tcPr>
            <w:tcW w:w="304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012D2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0EF45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36C025E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2025–26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47A5A8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4F0619B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2027–28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4DD72B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2028–29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DA2C5F" w:rsidRPr="00673450" w14:paraId="61A3665E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15A0E1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EXPENSES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C99BFF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27271A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801DB8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00D8D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8B5E0A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</w:tr>
      <w:tr w:rsidR="00DA2C5F" w:rsidRPr="00673450" w14:paraId="34AF900A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9B21F4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Employee benefits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26681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76,765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5D34D09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77,633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3F3AD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59,464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C2465D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57,488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125765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57,492 </w:t>
            </w:r>
          </w:p>
        </w:tc>
      </w:tr>
      <w:tr w:rsidR="00DA2C5F" w:rsidRPr="00673450" w14:paraId="15FB0741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59B03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Suppliers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88919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58,525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7461CF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54,134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29BD5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44,742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0FB4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37,375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A4451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38,351 </w:t>
            </w:r>
          </w:p>
        </w:tc>
      </w:tr>
      <w:tr w:rsidR="00DA2C5F" w:rsidRPr="00673450" w14:paraId="6B162C3C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520D2C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Depreciation and amortisation (a)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D03E0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11,766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7E9011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12,279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C9C91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12,717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6F10C8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13,453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E3CC02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12,530 </w:t>
            </w:r>
          </w:p>
        </w:tc>
      </w:tr>
      <w:tr w:rsidR="00DA2C5F" w:rsidRPr="00673450" w14:paraId="292D775D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ABECE3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Finance costs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AB9A4D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1,480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44B740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1,369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AE4A4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1,232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63EED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1,182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CF7E4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1,107 </w:t>
            </w:r>
          </w:p>
        </w:tc>
      </w:tr>
      <w:tr w:rsidR="00DA2C5F" w:rsidRPr="00673450" w14:paraId="51156B30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48FC88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Total expenses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0CCDC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148,536 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553EA24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145,415 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E57CD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118,155 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F29979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109,498 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9F6833D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109,480 </w:t>
            </w:r>
          </w:p>
        </w:tc>
      </w:tr>
      <w:tr w:rsidR="00DA2C5F" w:rsidRPr="00673450" w14:paraId="0D857B51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BDFAD6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LESS: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CBAE2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6AA537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5083CD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DD103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C3BF0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</w:tr>
      <w:tr w:rsidR="00DA2C5F" w:rsidRPr="00673450" w14:paraId="56726D7A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D8963C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OWN-SOURCE INCOME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086466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1006669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659D51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50F7B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3C8977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</w:tr>
      <w:tr w:rsidR="00DA2C5F" w:rsidRPr="00673450" w14:paraId="36F2C4D3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EC1F9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Own-source revenue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C479CC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6816932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D4DBA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8B92A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56EA7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</w:p>
        </w:tc>
      </w:tr>
      <w:tr w:rsidR="00DA2C5F" w:rsidRPr="00673450" w14:paraId="1AE0E41C" w14:textId="77777777" w:rsidTr="004C3E46">
        <w:trPr>
          <w:trHeight w:val="450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75A96C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Sale of goods and rendering of</w:t>
            </w:r>
            <w:r w:rsidRPr="00673450">
              <w:rPr>
                <w:rFonts w:ascii="Arial" w:hAnsi="Arial" w:cs="Arial"/>
                <w:sz w:val="16"/>
                <w:szCs w:val="16"/>
              </w:rPr>
              <w:br/>
              <w:t xml:space="preserve">  services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F154C0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13,067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B4D0C48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10,820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DD31B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10,820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CA558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3,820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3F565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3,820 </w:t>
            </w:r>
          </w:p>
        </w:tc>
      </w:tr>
      <w:tr w:rsidR="00DA2C5F" w:rsidRPr="00673450" w14:paraId="74B9FFFA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9BD419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Sublease income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4995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200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81AE19D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200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4E236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200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1A27A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200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B2FDA9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200 </w:t>
            </w:r>
          </w:p>
        </w:tc>
      </w:tr>
      <w:tr w:rsidR="00DA2C5F" w:rsidRPr="00673450" w14:paraId="47472926" w14:textId="77777777" w:rsidTr="00C92732">
        <w:trPr>
          <w:trHeight w:val="74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9E13E2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Other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6D7488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943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F1C5E6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943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5F26F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943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674B8A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943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C9DD99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943 </w:t>
            </w:r>
          </w:p>
        </w:tc>
      </w:tr>
      <w:tr w:rsidR="00DA2C5F" w:rsidRPr="00673450" w14:paraId="650AC2F6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02663B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Total own-source revenue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18AD97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14,210 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18C850A0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11,963 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C9CAA3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11,963 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36FB81D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4,963 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F715C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4,963 </w:t>
            </w:r>
          </w:p>
        </w:tc>
      </w:tr>
      <w:tr w:rsidR="00DA2C5F" w:rsidRPr="00673450" w14:paraId="76C168FD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65180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Total own-source income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D1782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14,210 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0CFC975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11,963 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47A107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11,963 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F96601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4,963 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1CB13B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4,963 </w:t>
            </w:r>
          </w:p>
        </w:tc>
      </w:tr>
      <w:tr w:rsidR="00DA2C5F" w:rsidRPr="00673450" w14:paraId="48B2FA63" w14:textId="77777777" w:rsidTr="00C92732">
        <w:trPr>
          <w:trHeight w:val="138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E5B39C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(cost of)/contribution by</w:t>
            </w:r>
            <w:r w:rsidRPr="00673450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services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2851B2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(134,326)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44D2F467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(133,452)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F6EBFB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(106,192)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AC7F0D8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(104,535)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6F87A0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(104,517)</w:t>
            </w:r>
          </w:p>
        </w:tc>
      </w:tr>
      <w:tr w:rsidR="00DA2C5F" w:rsidRPr="00673450" w14:paraId="5E53EA86" w14:textId="77777777" w:rsidTr="004C3E46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3C8C12" w14:textId="77777777" w:rsidR="00673450" w:rsidRPr="00673450" w:rsidRDefault="00673450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>Revenue from Government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D65BCA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130,837 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108C38A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128,254 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65A06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101,014 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C76B6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98,991 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7136E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673450">
              <w:rPr>
                <w:rFonts w:ascii="Arial" w:hAnsi="Arial" w:cs="Arial"/>
                <w:sz w:val="16"/>
                <w:szCs w:val="16"/>
              </w:rPr>
              <w:t xml:space="preserve">100,305 </w:t>
            </w:r>
          </w:p>
        </w:tc>
      </w:tr>
      <w:tr w:rsidR="008720C5" w:rsidRPr="00673450" w14:paraId="3FCACDC8" w14:textId="77777777" w:rsidTr="004C3E46">
        <w:trPr>
          <w:trHeight w:val="64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58EFC5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Surplus/(deficit) attributable to the</w:t>
            </w: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Australian Government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F33147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(3,489)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76B67364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(5,198)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075B43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(5,178)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90A489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(5,544)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E04F8D5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(4,212)</w:t>
            </w:r>
          </w:p>
        </w:tc>
      </w:tr>
      <w:tr w:rsidR="008720C5" w:rsidRPr="00673450" w14:paraId="5D3B804E" w14:textId="77777777" w:rsidTr="004C3E46">
        <w:trPr>
          <w:trHeight w:val="64"/>
        </w:trPr>
        <w:tc>
          <w:tcPr>
            <w:tcW w:w="30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24559A8" w14:textId="77777777" w:rsidR="00673450" w:rsidRPr="00673450" w:rsidRDefault="00673450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Total comprehensive income/(loss)</w:t>
            </w: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attributable to the Australian</w:t>
            </w: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Government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98D605E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(3,489)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5FB6C3EC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(5,198)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1872368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(5,178)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660B1F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(5,544)</w:t>
            </w:r>
          </w:p>
        </w:tc>
        <w:tc>
          <w:tcPr>
            <w:tcW w:w="93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DC582E6" w14:textId="77777777" w:rsidR="00673450" w:rsidRPr="00673450" w:rsidRDefault="00673450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673450">
              <w:rPr>
                <w:rFonts w:ascii="Arial" w:hAnsi="Arial" w:cs="Arial"/>
                <w:b/>
                <w:bCs/>
                <w:sz w:val="16"/>
                <w:szCs w:val="16"/>
              </w:rPr>
              <w:t>(4,212)</w:t>
            </w:r>
          </w:p>
        </w:tc>
      </w:tr>
    </w:tbl>
    <w:p w14:paraId="5B07E22E" w14:textId="5E8BAAC3" w:rsidR="00395D29" w:rsidRPr="006F174B" w:rsidRDefault="00960553" w:rsidP="00A85DBF">
      <w:pPr>
        <w:pStyle w:val="TableHeadingcontinued"/>
        <w:spacing w:before="20"/>
        <w:rPr>
          <w:sz w:val="16"/>
          <w:szCs w:val="16"/>
        </w:rPr>
      </w:pPr>
      <w:r w:rsidRPr="006F174B">
        <w:rPr>
          <w:b w:val="0"/>
          <w:snapToGrid w:val="0"/>
          <w:sz w:val="16"/>
          <w:szCs w:val="16"/>
        </w:rPr>
        <w:fldChar w:fldCharType="begin" w:fldLock="1"/>
      </w:r>
      <w:r w:rsidRPr="006F174B">
        <w:rPr>
          <w:snapToGrid w:val="0"/>
          <w:sz w:val="16"/>
          <w:szCs w:val="16"/>
        </w:rPr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3.1 For Profit!R51C1:R56C6" \a \f 4 \h </w:instrText>
      </w:r>
      <w:r w:rsidR="00D15F79" w:rsidRPr="006F174B">
        <w:rPr>
          <w:snapToGrid w:val="0"/>
          <w:sz w:val="16"/>
          <w:szCs w:val="16"/>
        </w:rPr>
        <w:instrText xml:space="preserve"> \* MERGEFORMAT </w:instrText>
      </w:r>
      <w:r w:rsidRPr="006F174B">
        <w:rPr>
          <w:b w:val="0"/>
          <w:snapToGrid w:val="0"/>
          <w:sz w:val="16"/>
          <w:szCs w:val="16"/>
        </w:rPr>
        <w:fldChar w:fldCharType="end"/>
      </w:r>
      <w:r w:rsidRPr="006F174B">
        <w:rPr>
          <w:b w:val="0"/>
          <w:sz w:val="16"/>
          <w:szCs w:val="16"/>
        </w:rPr>
        <w:fldChar w:fldCharType="begin" w:fldLock="1"/>
      </w:r>
      <w:r w:rsidRPr="006F174B">
        <w:rPr>
          <w:sz w:val="16"/>
          <w:szCs w:val="16"/>
        </w:rPr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3.1 CCE!R45C1:R51C6" \a \f 4 \h </w:instrText>
      </w:r>
      <w:r w:rsidR="00D15F79" w:rsidRPr="006F174B">
        <w:rPr>
          <w:sz w:val="16"/>
          <w:szCs w:val="16"/>
        </w:rPr>
        <w:instrText xml:space="preserve"> \* MERGEFORMAT </w:instrText>
      </w:r>
      <w:r w:rsidRPr="006F174B">
        <w:rPr>
          <w:b w:val="0"/>
          <w:sz w:val="16"/>
          <w:szCs w:val="16"/>
        </w:rPr>
        <w:fldChar w:fldCharType="end"/>
      </w:r>
      <w:r w:rsidRPr="006F174B">
        <w:rPr>
          <w:b w:val="0"/>
          <w:sz w:val="16"/>
          <w:szCs w:val="16"/>
        </w:rPr>
        <w:fldChar w:fldCharType="begin" w:fldLock="1"/>
      </w:r>
      <w:r w:rsidRPr="006F174B">
        <w:rPr>
          <w:sz w:val="16"/>
          <w:szCs w:val="16"/>
        </w:rPr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3.1 NCCE!R44C1:R50C6" \a \f 4 \h </w:instrText>
      </w:r>
      <w:r w:rsidR="00D15F79" w:rsidRPr="006F174B">
        <w:rPr>
          <w:sz w:val="16"/>
          <w:szCs w:val="16"/>
        </w:rPr>
        <w:instrText xml:space="preserve"> \* MERGEFORMAT </w:instrText>
      </w:r>
      <w:r w:rsidRPr="006F174B">
        <w:rPr>
          <w:b w:val="0"/>
          <w:sz w:val="16"/>
          <w:szCs w:val="16"/>
        </w:rPr>
        <w:fldChar w:fldCharType="end"/>
      </w:r>
      <w:r w:rsidR="007742FF" w:rsidRPr="006F174B">
        <w:rPr>
          <w:sz w:val="16"/>
          <w:szCs w:val="16"/>
        </w:rPr>
        <w:t>Note: Impact of net cash appropriation arrangements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3048"/>
        <w:gridCol w:w="932"/>
        <w:gridCol w:w="932"/>
        <w:gridCol w:w="933"/>
        <w:gridCol w:w="932"/>
        <w:gridCol w:w="933"/>
      </w:tblGrid>
      <w:tr w:rsidR="00DA2C5F" w:rsidRPr="0085267F" w14:paraId="4A138357" w14:textId="77777777" w:rsidTr="00C92732">
        <w:trPr>
          <w:trHeight w:val="80"/>
        </w:trPr>
        <w:tc>
          <w:tcPr>
            <w:tcW w:w="304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457DF8" w14:textId="77777777" w:rsidR="0085267F" w:rsidRPr="0085267F" w:rsidRDefault="0085267F" w:rsidP="00F023DC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BFE3A0F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03061651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>2025–26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B92C2C5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846D2E3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>2027–28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0153EB6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>2028–29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85267F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DA2C5F" w:rsidRPr="0085267F" w14:paraId="25F34DE5" w14:textId="77777777" w:rsidTr="00C92732">
        <w:trPr>
          <w:trHeight w:val="64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A2756C" w14:textId="77777777" w:rsidR="0085267F" w:rsidRPr="0085267F" w:rsidRDefault="0085267F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comprehensive income/(loss)</w:t>
            </w: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- as per statement of</w:t>
            </w: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Comprehensive Income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7FAF64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(3,489)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5784C2B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(5,198)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0EFA58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(5,178)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A6CB07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(5,544)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C782D6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(4,212)</w:t>
            </w:r>
          </w:p>
        </w:tc>
      </w:tr>
      <w:tr w:rsidR="00DA2C5F" w:rsidRPr="0085267F" w14:paraId="5A70D482" w14:textId="77777777" w:rsidTr="00824D4A">
        <w:trPr>
          <w:trHeight w:val="82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00113A" w14:textId="489F9C39" w:rsidR="0085267F" w:rsidRPr="0085267F" w:rsidRDefault="0085267F" w:rsidP="00A85DBF">
            <w:pPr>
              <w:spacing w:before="40" w:after="4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t>plus: depreciation/amortisation of</w:t>
            </w: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</w:t>
            </w:r>
            <w:r w:rsidR="00F023DC">
              <w:rPr>
                <w:rFonts w:ascii="Arial" w:hAnsi="Arial" w:cs="Arial"/>
                <w:color w:val="000000"/>
                <w:sz w:val="16"/>
                <w:szCs w:val="16"/>
              </w:rPr>
              <w:t xml:space="preserve">assets </w:t>
            </w: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t>funded through appropriations</w:t>
            </w: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(departmental capital budget funding</w:t>
            </w: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and/or equity injections) (a)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1990A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4,792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D78EC99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5,105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19A3DD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5,293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B03FE9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5,199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909355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4,456 </w:t>
            </w:r>
          </w:p>
        </w:tc>
      </w:tr>
      <w:tr w:rsidR="00DA2C5F" w:rsidRPr="0085267F" w14:paraId="33D358CC" w14:textId="77777777" w:rsidTr="00824D4A">
        <w:trPr>
          <w:trHeight w:val="74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9554A5" w14:textId="77777777" w:rsidR="0085267F" w:rsidRPr="0085267F" w:rsidRDefault="0085267F" w:rsidP="00A85DBF">
            <w:pPr>
              <w:spacing w:before="20" w:after="6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t>plus: depreciation/amortisation</w:t>
            </w: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expenses for ROU assets (b)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D1A7A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6,974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94DA0AD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7,174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19C4F9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7,424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A639CF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8,254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047A44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8,074 </w:t>
            </w:r>
          </w:p>
        </w:tc>
      </w:tr>
      <w:tr w:rsidR="00DA2C5F" w:rsidRPr="0085267F" w14:paraId="3345E3A7" w14:textId="77777777" w:rsidTr="00824D4A">
        <w:trPr>
          <w:trHeight w:val="74"/>
        </w:trPr>
        <w:tc>
          <w:tcPr>
            <w:tcW w:w="304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0258A2" w14:textId="77777777" w:rsidR="0085267F" w:rsidRPr="0085267F" w:rsidRDefault="0085267F" w:rsidP="00F023DC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color w:val="000000"/>
                <w:sz w:val="16"/>
                <w:szCs w:val="16"/>
              </w:rPr>
              <w:t>less: lease principal repayments (b)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F267A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8,277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F43F82E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7,081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94B8BB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7,539 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7FA45E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7,909 </w:t>
            </w:r>
          </w:p>
        </w:tc>
        <w:tc>
          <w:tcPr>
            <w:tcW w:w="93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D17A19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5267F">
              <w:rPr>
                <w:rFonts w:ascii="Arial" w:hAnsi="Arial" w:cs="Arial"/>
                <w:sz w:val="16"/>
                <w:szCs w:val="16"/>
              </w:rPr>
              <w:t xml:space="preserve">8,318 </w:t>
            </w:r>
          </w:p>
        </w:tc>
      </w:tr>
      <w:tr w:rsidR="00DA2C5F" w:rsidRPr="0085267F" w14:paraId="733AC139" w14:textId="77777777" w:rsidTr="00824D4A">
        <w:trPr>
          <w:trHeight w:val="225"/>
        </w:trPr>
        <w:tc>
          <w:tcPr>
            <w:tcW w:w="304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B3B5DF4" w14:textId="77777777" w:rsidR="0085267F" w:rsidRPr="0085267F" w:rsidRDefault="0085267F" w:rsidP="00F023DC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Cash Operating Surplus/ (Deficit)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F901CC7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- 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66ACCE8A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- 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E7C7295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- 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7446790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- </w:t>
            </w:r>
          </w:p>
        </w:tc>
        <w:tc>
          <w:tcPr>
            <w:tcW w:w="93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645EA4F" w14:textId="77777777" w:rsidR="0085267F" w:rsidRPr="0085267F" w:rsidRDefault="0085267F" w:rsidP="00F023DC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5267F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- </w:t>
            </w:r>
          </w:p>
        </w:tc>
      </w:tr>
    </w:tbl>
    <w:p w14:paraId="6E14EB7C" w14:textId="61B211B2" w:rsidR="007742FF" w:rsidRPr="00196D69" w:rsidRDefault="594C8CDB" w:rsidP="001A3FDA">
      <w:pPr>
        <w:pStyle w:val="ChartandTableFootnote"/>
        <w:rPr>
          <w:rFonts w:cs="Arial"/>
        </w:rPr>
      </w:pPr>
      <w:r w:rsidRPr="00196D69">
        <w:t>Prepared on Australian Accounting Standards basis.</w:t>
      </w:r>
    </w:p>
    <w:p w14:paraId="079FDC9D" w14:textId="3385571D" w:rsidR="00D52088" w:rsidRPr="00196D69" w:rsidRDefault="00DE1278" w:rsidP="000053CF">
      <w:pPr>
        <w:pStyle w:val="ChartandTableFootnoteAlpha"/>
        <w:numPr>
          <w:ilvl w:val="0"/>
          <w:numId w:val="12"/>
        </w:numPr>
        <w:spacing w:line="259" w:lineRule="auto"/>
        <w:rPr>
          <w:rFonts w:cs="Arial"/>
          <w:color w:val="auto"/>
          <w:szCs w:val="16"/>
        </w:rPr>
      </w:pPr>
      <w:r w:rsidRPr="00196D69">
        <w:rPr>
          <w:rFonts w:cs="Arial"/>
        </w:rPr>
        <w:t>From 2010–11, the Government introduced net cash appropriation arrangements</w:t>
      </w:r>
      <w:r w:rsidR="00A57934">
        <w:rPr>
          <w:rFonts w:cs="Arial"/>
        </w:rPr>
        <w:t xml:space="preserve"> where Bill 1 revenue appropriations for the depreciation/amortisation expenses of non-corporate Commonwealth entities (and select corporate Commonwealth entities) were replaced with a separate capital budget (the Departmental Capital Budget, or DCB) provided through Bill 1 equity appropriations.</w:t>
      </w:r>
      <w:r w:rsidRPr="00196D69">
        <w:rPr>
          <w:rFonts w:cs="Arial"/>
        </w:rPr>
        <w:t xml:space="preserve"> For information regarding DCBs, please refer to Table</w:t>
      </w:r>
      <w:r w:rsidR="00196D69" w:rsidRPr="00196D69">
        <w:rPr>
          <w:rFonts w:cs="Arial"/>
        </w:rPr>
        <w:t> </w:t>
      </w:r>
      <w:r w:rsidRPr="00196D69">
        <w:rPr>
          <w:rFonts w:cs="Arial"/>
        </w:rPr>
        <w:t>3.5 Departmental Capital Budget Statement</w:t>
      </w:r>
      <w:r w:rsidR="00992CC7">
        <w:rPr>
          <w:rFonts w:cs="Arial"/>
        </w:rPr>
        <w:t>s</w:t>
      </w:r>
      <w:r w:rsidRPr="00196D69">
        <w:rPr>
          <w:rFonts w:cs="Arial"/>
        </w:rPr>
        <w:t>.</w:t>
      </w:r>
    </w:p>
    <w:p w14:paraId="1ADF1940" w14:textId="4954FC52" w:rsidR="00D52088" w:rsidRPr="00196D69" w:rsidRDefault="00D52088" w:rsidP="00446EE2">
      <w:pPr>
        <w:pStyle w:val="ChartandTableFootnoteAlpha"/>
        <w:numPr>
          <w:ilvl w:val="0"/>
          <w:numId w:val="12"/>
        </w:numPr>
      </w:pPr>
      <w:r w:rsidRPr="00196D69">
        <w:t xml:space="preserve">Applies </w:t>
      </w:r>
      <w:r w:rsidR="00AB783A">
        <w:t xml:space="preserve">to </w:t>
      </w:r>
      <w:r w:rsidRPr="00196D69">
        <w:t>leases under AASB 16 Leases.</w:t>
      </w:r>
    </w:p>
    <w:p w14:paraId="0F228062" w14:textId="5FE50144" w:rsidR="00960553" w:rsidRPr="00802ACF" w:rsidRDefault="000A24C4" w:rsidP="00356893">
      <w:pPr>
        <w:pStyle w:val="TableHeading"/>
        <w:spacing w:before="0"/>
        <w:rPr>
          <w:rFonts w:ascii="Times New Roman" w:hAnsi="Times New Roman"/>
        </w:rPr>
      </w:pPr>
      <w:r w:rsidRPr="00D15F79">
        <w:rPr>
          <w:highlight w:val="green"/>
        </w:rPr>
        <w:br w:type="page"/>
      </w:r>
      <w:r w:rsidR="00525AB1" w:rsidRPr="00802ACF">
        <w:lastRenderedPageBreak/>
        <w:t>Table</w:t>
      </w:r>
      <w:r w:rsidR="00971CBF" w:rsidRPr="00802ACF">
        <w:t xml:space="preserve"> 3.</w:t>
      </w:r>
      <w:r w:rsidR="00525AB1" w:rsidRPr="00802ACF">
        <w:t xml:space="preserve">2: Budgeted </w:t>
      </w:r>
      <w:r w:rsidR="00F626C2" w:rsidRPr="00802ACF">
        <w:t xml:space="preserve">departmental balance sheet </w:t>
      </w:r>
      <w:r w:rsidR="00525AB1" w:rsidRPr="00802ACF">
        <w:t>(as at 30 June)</w:t>
      </w:r>
      <w:r w:rsidR="00960553" w:rsidRPr="00802ACF">
        <w:fldChar w:fldCharType="begin" w:fldLock="1"/>
      </w:r>
      <w:r w:rsidR="00960553" w:rsidRPr="00802ACF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3.2!R3C1:R44C6" \a \f 4 \h </w:instrText>
      </w:r>
      <w:r w:rsidR="00D15F79" w:rsidRPr="00802ACF">
        <w:instrText xml:space="preserve"> \* MERGEFORMAT </w:instrText>
      </w:r>
      <w:r w:rsidR="00960553" w:rsidRPr="00802ACF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53"/>
        <w:gridCol w:w="933"/>
        <w:gridCol w:w="881"/>
        <w:gridCol w:w="881"/>
        <w:gridCol w:w="881"/>
        <w:gridCol w:w="881"/>
      </w:tblGrid>
      <w:tr w:rsidR="00D978B5" w:rsidRPr="00D978B5" w14:paraId="01634BDC" w14:textId="77777777" w:rsidTr="00865169">
        <w:trPr>
          <w:trHeight w:val="309"/>
        </w:trPr>
        <w:tc>
          <w:tcPr>
            <w:tcW w:w="32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F485E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087F43F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D978B5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0AB1F44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D978B5">
              <w:rPr>
                <w:rFonts w:ascii="Arial" w:hAnsi="Arial" w:cs="Arial"/>
                <w:sz w:val="16"/>
                <w:szCs w:val="16"/>
              </w:rPr>
              <w:t>2025–26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7F4DDA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D978B5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7E8EAD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D978B5">
              <w:rPr>
                <w:rFonts w:ascii="Arial" w:hAnsi="Arial" w:cs="Arial"/>
                <w:sz w:val="16"/>
                <w:szCs w:val="16"/>
              </w:rPr>
              <w:t>2027–28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85643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D978B5">
              <w:rPr>
                <w:rFonts w:ascii="Arial" w:hAnsi="Arial" w:cs="Arial"/>
                <w:sz w:val="16"/>
                <w:szCs w:val="16"/>
              </w:rPr>
              <w:t>2028–29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D978B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D978B5" w:rsidRPr="00D978B5" w14:paraId="71DA6536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61E65A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ASSETS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CEE3B7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B029A53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E760DB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7B9165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858F61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4D42DE93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69B4E3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Financial assets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4D5471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DAD1CB7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34BA8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EA4831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E069AD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0F719D74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61873E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Cash </w:t>
            </w:r>
            <w:r w:rsidRPr="00D978B5">
              <w:rPr>
                <w:rFonts w:ascii="Arial" w:hAnsi="Arial" w:cs="Arial"/>
                <w:sz w:val="16"/>
                <w:szCs w:val="16"/>
              </w:rPr>
              <w:t>and cash equivalents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E273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182828D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74FCF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1DAA5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249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1BB168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249</w:t>
            </w:r>
          </w:p>
        </w:tc>
      </w:tr>
      <w:tr w:rsidR="00D978B5" w:rsidRPr="00D978B5" w14:paraId="0480B771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B2273C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D978B5">
              <w:rPr>
                <w:rFonts w:ascii="Arial" w:hAnsi="Arial" w:cs="Arial"/>
                <w:sz w:val="16"/>
                <w:szCs w:val="16"/>
              </w:rPr>
              <w:t>Trade and other receivables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97F63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33,163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DCCCE5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29,898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154C0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29,594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119F2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29,370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126385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29,370</w:t>
            </w:r>
          </w:p>
        </w:tc>
      </w:tr>
      <w:tr w:rsidR="00D978B5" w:rsidRPr="00D978B5" w14:paraId="3F7AF0D0" w14:textId="77777777" w:rsidTr="00D978B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0A2086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financial assets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48E908A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 33,412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1C4BF280" w14:textId="7B6E5506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30,147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8A2CF6D" w14:textId="66E3E572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29,843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8FC418C" w14:textId="711B0054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29,619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06B4D22" w14:textId="78C60B26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29,619 </w:t>
            </w:r>
          </w:p>
        </w:tc>
      </w:tr>
      <w:tr w:rsidR="00D978B5" w:rsidRPr="00D978B5" w14:paraId="6CB42087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51EC5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Non-financial assets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A6926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8109AC4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0E2160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234759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751BB2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50B9B242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50C2F8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Land and buildings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547B8A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63,449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2140FA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55,423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8A40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47,592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A962C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45,369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3F5C0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45,803</w:t>
            </w:r>
          </w:p>
        </w:tc>
      </w:tr>
      <w:tr w:rsidR="00D978B5" w:rsidRPr="00D978B5" w14:paraId="225780B5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F87FA4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Property, plant and equipment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5A57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4,601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0E9E63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4,320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8312B2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3,742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51AED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3,101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AC697B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1,745</w:t>
            </w:r>
          </w:p>
        </w:tc>
      </w:tr>
      <w:tr w:rsidR="00D978B5" w:rsidRPr="00D978B5" w14:paraId="6E9B2F74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15E3F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Intangibles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95D1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805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935432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986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D018E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1,205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1AA1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1,125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B7C20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1,592</w:t>
            </w:r>
          </w:p>
        </w:tc>
      </w:tr>
      <w:tr w:rsidR="00D978B5" w:rsidRPr="00D978B5" w14:paraId="158F4BC8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855B9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Other non-financial assets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7D794A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2,441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1A2F8F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2,441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367AA4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2,441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0BCE08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2,441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EBCFC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2,441</w:t>
            </w:r>
          </w:p>
        </w:tc>
      </w:tr>
      <w:tr w:rsidR="00D978B5" w:rsidRPr="00D978B5" w14:paraId="4BF4E5F1" w14:textId="77777777" w:rsidTr="00D978B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5AF194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non-financial assets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CF27DE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 71,296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7DD4D72A" w14:textId="3DDA8166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63,170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94F54C6" w14:textId="289A39B4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54,980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3742D23" w14:textId="231E20BC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52,036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AF45F32" w14:textId="11E65F6D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51,581 </w:t>
            </w:r>
          </w:p>
        </w:tc>
      </w:tr>
      <w:tr w:rsidR="00D978B5" w:rsidRPr="00D978B5" w14:paraId="1D0C1243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263428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assets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DABA1B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 104,708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0C67083A" w14:textId="18B1E43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93,317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7B35563" w14:textId="30CF8C0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84,823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5DF9945" w14:textId="1B42E36A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81,655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E07D1E5" w14:textId="157A0019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81,200 </w:t>
            </w:r>
          </w:p>
        </w:tc>
      </w:tr>
      <w:tr w:rsidR="00D978B5" w:rsidRPr="00D978B5" w14:paraId="32F3AAEE" w14:textId="77777777" w:rsidTr="00865169">
        <w:trPr>
          <w:trHeight w:val="6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256689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LIABILITIES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DB7992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AD3D426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E5DE3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E4D47D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B87F2D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42F597D0" w14:textId="77777777" w:rsidTr="00865169">
        <w:trPr>
          <w:trHeight w:val="7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F12E2C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Payables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853349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C0D6789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9E1D1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68C9E6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162E28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773B4882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CDD3E3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Suppliers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4696B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4,500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80FB50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4,500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9FC3C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4,500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25752B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4,500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0CB2FB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4,500</w:t>
            </w:r>
          </w:p>
        </w:tc>
      </w:tr>
      <w:tr w:rsidR="00D978B5" w:rsidRPr="00D978B5" w14:paraId="2141F2E3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5990D9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Other payables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6A4C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2,575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2BC5F3B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2,575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9E145B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2,575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7FAA3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2,575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1276A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2,575</w:t>
            </w:r>
          </w:p>
        </w:tc>
      </w:tr>
      <w:tr w:rsidR="00D978B5" w:rsidRPr="00D978B5" w14:paraId="064B7C3D" w14:textId="77777777" w:rsidTr="00D978B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FBF16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payables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92299EA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   7,075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4F7787A4" w14:textId="153F1C5D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7,075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79B6C0E" w14:textId="3F213BDF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7,075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08D27E1" w14:textId="54CFD4A8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7,075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23FD7EE" w14:textId="6738FCD5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7,075 </w:t>
            </w:r>
          </w:p>
        </w:tc>
      </w:tr>
      <w:tr w:rsidR="00D978B5" w:rsidRPr="00D978B5" w14:paraId="656B4B99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E9DB2C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Interest bearing liabilities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89E480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B0FE135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3F9EDF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BEAB27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B8BE59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2D3FACC9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4022AB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Leases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7EDE2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55,452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91D447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50,531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D7D82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45,492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8C2B0E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46,043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5C9EA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47,725</w:t>
            </w:r>
          </w:p>
        </w:tc>
      </w:tr>
      <w:tr w:rsidR="00D978B5" w:rsidRPr="00D978B5" w14:paraId="4E469EA0" w14:textId="77777777" w:rsidTr="00D978B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46A5D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interest bearing liabilities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6017FB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 55,452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728CD110" w14:textId="43DDA9B5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50,531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F3D4741" w14:textId="723E9DD6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45,492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CE34695" w14:textId="0F546761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46,043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6177DED" w14:textId="2E185952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47,725 </w:t>
            </w:r>
          </w:p>
        </w:tc>
      </w:tr>
      <w:tr w:rsidR="00D978B5" w:rsidRPr="00D978B5" w14:paraId="3477905B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403C71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Provisions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B6622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26A1132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2AC1D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31C59A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768275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6B3314ED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E9C255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Employee provisions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1177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23,100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B7DE8E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20,950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5BBF8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20,646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CE817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20,422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48B42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20,422</w:t>
            </w:r>
          </w:p>
        </w:tc>
      </w:tr>
      <w:tr w:rsidR="00D978B5" w:rsidRPr="00D978B5" w14:paraId="5AE8E9B7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6B81E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Other provisions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C21FA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1,945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74531D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830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50B5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830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E128CE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830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727A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830</w:t>
            </w:r>
          </w:p>
        </w:tc>
      </w:tr>
      <w:tr w:rsidR="00D978B5" w:rsidRPr="00D978B5" w14:paraId="0FFD98E7" w14:textId="77777777" w:rsidTr="00D978B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AE63A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provisions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E3F034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   25,045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726CB9B0" w14:textId="7CE3FB12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21,780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01C966A" w14:textId="0C75CE50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21,476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3C3358C" w14:textId="533BF3D8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21,252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2EA4248" w14:textId="265EDE1F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21,252 </w:t>
            </w:r>
          </w:p>
        </w:tc>
      </w:tr>
      <w:tr w:rsidR="00D978B5" w:rsidRPr="00D978B5" w14:paraId="53D5E58D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DF9A1B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liabilities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27BC8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   87,572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16783BCC" w14:textId="1CB0511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79,386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9AAFCB" w14:textId="481A7E1B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74,043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56B871" w14:textId="00F5CE8F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74,370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EE9BA5" w14:textId="60202875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76,052 </w:t>
            </w:r>
          </w:p>
        </w:tc>
      </w:tr>
      <w:tr w:rsidR="00D978B5" w:rsidRPr="00D978B5" w14:paraId="00BB7E1F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D43F8B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sz w:val="16"/>
                <w:szCs w:val="16"/>
              </w:rPr>
              <w:t>Net assets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9691DD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   17,136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57668102" w14:textId="69E264A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 13,931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2700CA3" w14:textId="747661C0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10,780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A173B2" w14:textId="1968608E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  7,285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FE0737E" w14:textId="3CEBB593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    5,148 </w:t>
            </w:r>
          </w:p>
        </w:tc>
      </w:tr>
      <w:tr w:rsidR="00D978B5" w:rsidRPr="00D978B5" w14:paraId="1BE662FA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E21A78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EQUITY*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1E31B5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565B001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DDDE1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D5FC30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386778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68B1CBCC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FD860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Parent entity interest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CCC6A0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3ECA366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45272B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FC6F6A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B2AB3" w14:textId="77777777" w:rsidR="00D978B5" w:rsidRPr="00D978B5" w:rsidRDefault="00D978B5" w:rsidP="00D978B5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D978B5" w:rsidRPr="00D978B5" w14:paraId="1D97279B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448D9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Contributed equity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CB6A5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31,130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5BBB70B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33,123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69EB4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35,150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72D05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37,199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AE73A3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39,274 </w:t>
            </w:r>
          </w:p>
        </w:tc>
      </w:tr>
      <w:tr w:rsidR="00D978B5" w:rsidRPr="00D978B5" w14:paraId="258EDD35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D734A8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Reserves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0BF895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F4C4705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4D4AF4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15F1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E8BC5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 xml:space="preserve">20,743 </w:t>
            </w:r>
          </w:p>
        </w:tc>
      </w:tr>
      <w:tr w:rsidR="00D978B5" w:rsidRPr="00D978B5" w14:paraId="19CA8438" w14:textId="77777777" w:rsidTr="00D978B5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C8EE2D" w14:textId="77777777" w:rsidR="00D978B5" w:rsidRPr="00D978B5" w:rsidRDefault="00D978B5" w:rsidP="00D978B5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Retained surplus (accumulated</w:t>
            </w: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deficit)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662FD4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(34,737)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A45BF0A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(39,935)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BED978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(45,113)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9ADBC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(50,657)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7AB04E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color w:val="000000"/>
                <w:sz w:val="16"/>
                <w:szCs w:val="16"/>
              </w:rPr>
              <w:t>(54,869)</w:t>
            </w:r>
          </w:p>
        </w:tc>
      </w:tr>
      <w:tr w:rsidR="00D978B5" w:rsidRPr="00D978B5" w14:paraId="08F499CC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3F10B2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parent entity interest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370208E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17,136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0F9DC1A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13,931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21AE3E2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10,780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CA5222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7,285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61B1B5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5,148 </w:t>
            </w:r>
          </w:p>
        </w:tc>
      </w:tr>
      <w:tr w:rsidR="00D978B5" w:rsidRPr="00D978B5" w14:paraId="1318435E" w14:textId="77777777" w:rsidTr="00D978B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ABCDBC9" w14:textId="77777777" w:rsidR="00D978B5" w:rsidRPr="00D978B5" w:rsidRDefault="00D978B5" w:rsidP="00D978B5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equity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A487C19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17,136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39CD88E6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13,931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D09B3C7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10,780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8429311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7,285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D10A860" w14:textId="77777777" w:rsidR="00D978B5" w:rsidRPr="00D978B5" w:rsidRDefault="00D978B5" w:rsidP="00D978B5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D978B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5,148 </w:t>
            </w:r>
          </w:p>
        </w:tc>
      </w:tr>
    </w:tbl>
    <w:p w14:paraId="1BFFE57C" w14:textId="5A2B07C0" w:rsidR="00D606C2" w:rsidRPr="00802ACF" w:rsidRDefault="00960553" w:rsidP="0083485D">
      <w:pPr>
        <w:pStyle w:val="ChartandTableFootnote"/>
        <w:rPr>
          <w:rFonts w:cs="Arial"/>
        </w:rPr>
      </w:pPr>
      <w:r w:rsidRPr="00802ACF">
        <w:rPr>
          <w:rFonts w:cs="Arial"/>
        </w:rPr>
        <w:fldChar w:fldCharType="begin" w:fldLock="1"/>
      </w:r>
      <w:r w:rsidRPr="00802ACF">
        <w:rPr>
          <w:rFonts w:cs="Arial"/>
        </w:rPr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3.2!R50C1:R62C6" \a \f 4 \h </w:instrText>
      </w:r>
      <w:r w:rsidR="00D15F79" w:rsidRPr="00802ACF">
        <w:rPr>
          <w:rFonts w:cs="Arial"/>
        </w:rPr>
        <w:instrText xml:space="preserve"> \* MERGEFORMAT </w:instrText>
      </w:r>
      <w:r w:rsidRPr="00802ACF">
        <w:rPr>
          <w:rFonts w:cs="Arial"/>
        </w:rPr>
        <w:fldChar w:fldCharType="end"/>
      </w:r>
      <w:r w:rsidR="00D606C2" w:rsidRPr="00802ACF">
        <w:rPr>
          <w:rFonts w:cs="Arial"/>
        </w:rPr>
        <w:t>Prepared on Australian Accounting Standards basis.</w:t>
      </w:r>
    </w:p>
    <w:p w14:paraId="43137421" w14:textId="6A7F05B4" w:rsidR="00E4582E" w:rsidRPr="00802ACF" w:rsidRDefault="00E4582E" w:rsidP="00F626C2">
      <w:pPr>
        <w:pStyle w:val="ChartandTableFootnote"/>
        <w:rPr>
          <w:rFonts w:cs="Arial"/>
        </w:rPr>
      </w:pPr>
      <w:r w:rsidRPr="00802ACF">
        <w:rPr>
          <w:rFonts w:cs="Arial"/>
        </w:rPr>
        <w:t>*</w:t>
      </w:r>
      <w:r w:rsidR="002C09C9">
        <w:rPr>
          <w:rFonts w:cs="Arial"/>
        </w:rPr>
        <w:t>‘</w:t>
      </w:r>
      <w:r w:rsidRPr="00802ACF">
        <w:rPr>
          <w:rFonts w:cs="Arial"/>
        </w:rPr>
        <w:t>E</w:t>
      </w:r>
      <w:r w:rsidR="00F626C2" w:rsidRPr="00802ACF">
        <w:rPr>
          <w:rFonts w:cs="Arial"/>
        </w:rPr>
        <w:t>quity</w:t>
      </w:r>
      <w:r w:rsidR="00AF213C" w:rsidRPr="00802ACF">
        <w:rPr>
          <w:rFonts w:cs="Arial"/>
        </w:rPr>
        <w:t>’</w:t>
      </w:r>
      <w:r w:rsidRPr="00802ACF">
        <w:rPr>
          <w:rFonts w:cs="Arial"/>
        </w:rPr>
        <w:t xml:space="preserve"> is the residual interest in assets after deduction of liabilities.</w:t>
      </w:r>
    </w:p>
    <w:p w14:paraId="2CADFC2E" w14:textId="7C47517B" w:rsidR="00960553" w:rsidRPr="006F002B" w:rsidRDefault="000A24C4" w:rsidP="00356893">
      <w:pPr>
        <w:pStyle w:val="TableHeading"/>
        <w:spacing w:before="0"/>
        <w:rPr>
          <w:rFonts w:ascii="Times New Roman" w:hAnsi="Times New Roman"/>
        </w:rPr>
      </w:pPr>
      <w:r w:rsidRPr="00D15F79">
        <w:rPr>
          <w:highlight w:val="green"/>
        </w:rPr>
        <w:br w:type="page"/>
      </w:r>
      <w:r w:rsidR="00A80C87" w:rsidRPr="006F002B">
        <w:lastRenderedPageBreak/>
        <w:t>Table</w:t>
      </w:r>
      <w:r w:rsidR="00971CBF" w:rsidRPr="006F002B">
        <w:t xml:space="preserve"> 3.</w:t>
      </w:r>
      <w:r w:rsidR="00A80C87" w:rsidRPr="006F002B">
        <w:t>3</w:t>
      </w:r>
      <w:r w:rsidR="00345CCD" w:rsidRPr="006F002B">
        <w:t xml:space="preserve">: Departmental </w:t>
      </w:r>
      <w:r w:rsidR="00F626C2" w:rsidRPr="006F002B">
        <w:t>statement of changes in equity</w:t>
      </w:r>
      <w:r w:rsidR="00AF213C" w:rsidRPr="006F002B">
        <w:t xml:space="preserve"> – </w:t>
      </w:r>
      <w:r w:rsidR="00F626C2" w:rsidRPr="006F002B">
        <w:t>summary of movement (</w:t>
      </w:r>
      <w:r w:rsidR="008A1DDE" w:rsidRPr="006F002B">
        <w:t xml:space="preserve">Budget </w:t>
      </w:r>
      <w:r w:rsidR="00F626C2" w:rsidRPr="006F002B">
        <w:t>y</w:t>
      </w:r>
      <w:r w:rsidR="008A1DDE" w:rsidRPr="006F002B">
        <w:t xml:space="preserve">ear </w:t>
      </w:r>
      <w:r w:rsidR="00B045DE" w:rsidRPr="006F002B">
        <w:t>202</w:t>
      </w:r>
      <w:r w:rsidR="00941B73" w:rsidRPr="006F002B">
        <w:t>5</w:t>
      </w:r>
      <w:r w:rsidR="00EC33E6" w:rsidRPr="006F002B">
        <w:t>–</w:t>
      </w:r>
      <w:r w:rsidR="00B045DE" w:rsidRPr="006F002B">
        <w:t>2</w:t>
      </w:r>
      <w:r w:rsidR="00941B73" w:rsidRPr="006F002B">
        <w:t>6</w:t>
      </w:r>
      <w:r w:rsidR="00345CCD" w:rsidRPr="006F002B">
        <w:t>)</w:t>
      </w:r>
      <w:r w:rsidR="00BD252D" w:rsidRPr="006F002B">
        <w:rPr>
          <w:b w:val="0"/>
        </w:rPr>
        <w:t xml:space="preserve"> </w:t>
      </w:r>
      <w:r w:rsidR="00960553" w:rsidRPr="006F002B">
        <w:fldChar w:fldCharType="begin" w:fldLock="1"/>
      </w:r>
      <w:r w:rsidR="00960553" w:rsidRPr="006F002B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3.3!R3C1:R34C6" \a \f 4 \h </w:instrText>
      </w:r>
      <w:r w:rsidR="00D15F79" w:rsidRPr="006F002B">
        <w:instrText xml:space="preserve"> \* MERGEFORMAT </w:instrText>
      </w:r>
      <w:r w:rsidR="00960553" w:rsidRPr="006F002B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657"/>
        <w:gridCol w:w="1000"/>
        <w:gridCol w:w="1004"/>
        <w:gridCol w:w="1050"/>
        <w:gridCol w:w="999"/>
      </w:tblGrid>
      <w:tr w:rsidR="00F15AFB" w:rsidRPr="00F15AFB" w14:paraId="0EE5DC47" w14:textId="77777777" w:rsidTr="00491D80">
        <w:trPr>
          <w:trHeight w:val="64"/>
        </w:trPr>
        <w:tc>
          <w:tcPr>
            <w:tcW w:w="36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0B0FF3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606FB88A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Retained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earnings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$'000</w:t>
            </w: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3907691D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Asset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revaluation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reserve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$'000</w:t>
            </w: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6C585559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Contributed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equity/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capital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$'000</w:t>
            </w: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single" w:sz="4" w:space="0" w:color="000000"/>
              <w:right w:val="nil"/>
            </w:tcBorders>
            <w:shd w:val="clear" w:color="auto" w:fill="auto"/>
            <w:hideMark/>
          </w:tcPr>
          <w:p w14:paraId="13CF330B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Total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equity 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>$'000</w:t>
            </w:r>
          </w:p>
        </w:tc>
      </w:tr>
      <w:tr w:rsidR="00F15AFB" w:rsidRPr="00F15AFB" w14:paraId="04FB3B91" w14:textId="77777777" w:rsidTr="00F15AFB">
        <w:trPr>
          <w:trHeight w:val="225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405AE0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Opening balance as at 1 July 2025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6EAF6FF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129A9C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C223D1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E4FE43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F15AFB" w:rsidRPr="00F15AFB" w14:paraId="0E033751" w14:textId="77777777" w:rsidTr="00491D80">
        <w:trPr>
          <w:trHeight w:val="7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28DA75" w14:textId="4251EFA1" w:rsidR="00F15AFB" w:rsidRPr="00F15AFB" w:rsidRDefault="00F15AFB" w:rsidP="00F15AFB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Balance carried forward from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</w:t>
            </w:r>
            <w:r w:rsidR="00C5005C">
              <w:rPr>
                <w:rFonts w:ascii="Arial" w:hAnsi="Arial" w:cs="Arial"/>
                <w:color w:val="000000"/>
                <w:sz w:val="16"/>
                <w:szCs w:val="16"/>
              </w:rPr>
              <w:t xml:space="preserve">  </w:t>
            </w: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previous period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1777E" w14:textId="77777777" w:rsidR="00F15AFB" w:rsidRPr="00F15AFB" w:rsidRDefault="00F15AFB" w:rsidP="00491D80">
            <w:pPr>
              <w:spacing w:before="20" w:after="6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(34,737)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62176D" w14:textId="77777777" w:rsidR="00F15AFB" w:rsidRPr="00F15AFB" w:rsidRDefault="00F15AFB" w:rsidP="00491D80">
            <w:pPr>
              <w:spacing w:before="20" w:after="6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29BE22" w14:textId="77777777" w:rsidR="00F15AFB" w:rsidRPr="00F15AFB" w:rsidRDefault="00F15AFB" w:rsidP="00491D80">
            <w:pPr>
              <w:spacing w:before="20" w:after="6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31,130 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702332" w14:textId="77777777" w:rsidR="00F15AFB" w:rsidRPr="00F15AFB" w:rsidRDefault="00F15AFB" w:rsidP="00491D80">
            <w:pPr>
              <w:spacing w:before="20" w:after="6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17,136 </w:t>
            </w:r>
          </w:p>
        </w:tc>
      </w:tr>
      <w:tr w:rsidR="00F15AFB" w:rsidRPr="00F15AFB" w14:paraId="47712271" w14:textId="77777777" w:rsidTr="00491D80">
        <w:trPr>
          <w:trHeight w:val="210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6DE576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Adjusted opening balance</w:t>
            </w:r>
          </w:p>
        </w:tc>
        <w:tc>
          <w:tcPr>
            <w:tcW w:w="99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F089AD7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(34,737)</w:t>
            </w:r>
          </w:p>
        </w:tc>
        <w:tc>
          <w:tcPr>
            <w:tcW w:w="99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828DBB5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9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2819209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31,130 </w:t>
            </w:r>
          </w:p>
        </w:tc>
        <w:tc>
          <w:tcPr>
            <w:tcW w:w="99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FCC3099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17,136 </w:t>
            </w:r>
          </w:p>
        </w:tc>
      </w:tr>
      <w:tr w:rsidR="00F15AFB" w:rsidRPr="00F15AFB" w14:paraId="5F53068B" w14:textId="77777777" w:rsidTr="00491D80">
        <w:trPr>
          <w:trHeight w:val="68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43201E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Comprehensive income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33FB49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3BF7EF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A3728E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6E6630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F15AFB" w:rsidRPr="00F15AFB" w14:paraId="03198992" w14:textId="77777777" w:rsidTr="00FF6953">
        <w:trPr>
          <w:trHeight w:val="7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2EEACD" w14:textId="77777777" w:rsidR="00F15AFB" w:rsidRPr="00F15AFB" w:rsidRDefault="00F15AFB" w:rsidP="00F15AFB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F15AFB">
              <w:rPr>
                <w:rFonts w:ascii="Arial" w:hAnsi="Arial" w:cs="Arial"/>
                <w:sz w:val="16"/>
                <w:szCs w:val="16"/>
              </w:rPr>
              <w:t>Surplus/(deficit) for the period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5F267F5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(5,198)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F8ADF4C" w14:textId="7811CE2F" w:rsidR="00F15AFB" w:rsidRPr="00F15AFB" w:rsidRDefault="00F4372C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DA5306A" w14:textId="68E46937" w:rsidR="00F15AFB" w:rsidRPr="00111A54" w:rsidRDefault="00F4372C" w:rsidP="00F4372C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111A54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53F2920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(5,198)</w:t>
            </w:r>
          </w:p>
        </w:tc>
      </w:tr>
      <w:tr w:rsidR="00F15AFB" w:rsidRPr="00F15AFB" w14:paraId="6A911D68" w14:textId="77777777" w:rsidTr="00FF6953">
        <w:trPr>
          <w:trHeight w:val="210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BF4A75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comprehensive income</w:t>
            </w:r>
          </w:p>
        </w:tc>
        <w:tc>
          <w:tcPr>
            <w:tcW w:w="995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69828A0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(5,198)</w:t>
            </w:r>
          </w:p>
        </w:tc>
        <w:tc>
          <w:tcPr>
            <w:tcW w:w="99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65B3C7C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998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2C3EBE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994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D6FF184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(5,198)</w:t>
            </w:r>
          </w:p>
        </w:tc>
      </w:tr>
      <w:tr w:rsidR="00F15AFB" w:rsidRPr="00F15AFB" w14:paraId="12B1461C" w14:textId="77777777" w:rsidTr="00FF6953">
        <w:trPr>
          <w:trHeight w:val="7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22116C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Transactions with owners</w:t>
            </w:r>
          </w:p>
        </w:tc>
        <w:tc>
          <w:tcPr>
            <w:tcW w:w="995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0332A1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99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BA0E85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8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CC01D2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6EB8B8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F15AFB" w:rsidRPr="00F15AFB" w14:paraId="4C663045" w14:textId="77777777" w:rsidTr="00491D80">
        <w:trPr>
          <w:trHeight w:val="7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DB5CCA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Contributions by owners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838933" w14:textId="77777777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333EDF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FFC695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72063D" w14:textId="77777777" w:rsidR="00F15AFB" w:rsidRPr="00F15AFB" w:rsidRDefault="00F15AFB" w:rsidP="00F15AFB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F15AFB" w:rsidRPr="00F15AFB" w14:paraId="692C1D0C" w14:textId="77777777" w:rsidTr="00491D80">
        <w:trPr>
          <w:trHeight w:val="7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56A64E" w14:textId="77777777" w:rsidR="00F15AFB" w:rsidRPr="00F15AFB" w:rsidRDefault="00F15AFB" w:rsidP="00F15AFB">
            <w:pPr>
              <w:spacing w:before="20" w:after="20" w:line="240" w:lineRule="auto"/>
              <w:ind w:firstLineChars="200" w:firstLine="32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>Departmental Capital Budget (DCB)</w:t>
            </w:r>
          </w:p>
        </w:tc>
        <w:tc>
          <w:tcPr>
            <w:tcW w:w="99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6ACA5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99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89F329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99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422EBC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1,993 </w:t>
            </w:r>
          </w:p>
        </w:tc>
        <w:tc>
          <w:tcPr>
            <w:tcW w:w="9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796AC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color w:val="000000"/>
                <w:sz w:val="16"/>
                <w:szCs w:val="16"/>
              </w:rPr>
              <w:t xml:space="preserve">1,993 </w:t>
            </w:r>
          </w:p>
        </w:tc>
      </w:tr>
      <w:tr w:rsidR="00F15AFB" w:rsidRPr="00F15AFB" w14:paraId="0283ABBB" w14:textId="77777777" w:rsidTr="00491D80">
        <w:trPr>
          <w:trHeight w:val="6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634A05" w14:textId="0A4B7EED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Sub-total transactions with</w:t>
            </w:r>
            <w:r w:rsidR="00FF6953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 </w:t>
            </w: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owners</w:t>
            </w:r>
          </w:p>
        </w:tc>
        <w:tc>
          <w:tcPr>
            <w:tcW w:w="99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81B9AE6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99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61257C7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998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8BE2831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1,993 </w:t>
            </w:r>
          </w:p>
        </w:tc>
        <w:tc>
          <w:tcPr>
            <w:tcW w:w="994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2188A70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1,993 </w:t>
            </w:r>
          </w:p>
        </w:tc>
      </w:tr>
      <w:tr w:rsidR="00F15AFB" w:rsidRPr="00F15AFB" w14:paraId="13C8D9AB" w14:textId="77777777" w:rsidTr="00491D80">
        <w:trPr>
          <w:trHeight w:val="64"/>
        </w:trPr>
        <w:tc>
          <w:tcPr>
            <w:tcW w:w="36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5FCB87" w14:textId="3CF627D0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Estimated closing balance as at</w:t>
            </w: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>30 June 2026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0FB30F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(39,935)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55216E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3F05E90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33,123 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7689FD7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13,931 </w:t>
            </w:r>
          </w:p>
        </w:tc>
      </w:tr>
      <w:tr w:rsidR="00F15AFB" w:rsidRPr="00F15AFB" w14:paraId="0B49BDB0" w14:textId="77777777" w:rsidTr="00491D80">
        <w:trPr>
          <w:trHeight w:val="64"/>
        </w:trPr>
        <w:tc>
          <w:tcPr>
            <w:tcW w:w="363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vAlign w:val="center"/>
            <w:hideMark/>
          </w:tcPr>
          <w:p w14:paraId="1B533171" w14:textId="6244A3EF" w:rsidR="00F15AFB" w:rsidRPr="00F15AFB" w:rsidRDefault="00F15AFB" w:rsidP="00F15AFB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Closing balance attributable to</w:t>
            </w: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>the Australian Government</w:t>
            </w:r>
          </w:p>
        </w:tc>
        <w:tc>
          <w:tcPr>
            <w:tcW w:w="99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9C77FE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(39,935)</w:t>
            </w:r>
          </w:p>
        </w:tc>
        <w:tc>
          <w:tcPr>
            <w:tcW w:w="99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B4311A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20,743 </w:t>
            </w:r>
          </w:p>
        </w:tc>
        <w:tc>
          <w:tcPr>
            <w:tcW w:w="99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CC8683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33,123 </w:t>
            </w:r>
          </w:p>
        </w:tc>
        <w:tc>
          <w:tcPr>
            <w:tcW w:w="9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A514827" w14:textId="77777777" w:rsidR="00F15AFB" w:rsidRPr="00F15AFB" w:rsidRDefault="00F15AFB" w:rsidP="00F15AFB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F15AFB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13,931 </w:t>
            </w:r>
          </w:p>
        </w:tc>
      </w:tr>
    </w:tbl>
    <w:p w14:paraId="05F30CCD" w14:textId="71F01A08" w:rsidR="00387DF5" w:rsidRDefault="00D606C2" w:rsidP="001A3FDA">
      <w:pPr>
        <w:pStyle w:val="ChartandTableFootnote"/>
      </w:pPr>
      <w:r w:rsidRPr="006F002B">
        <w:t>Prepared on Australian Accounting Standards basis</w:t>
      </w:r>
      <w:r w:rsidR="003F0C87">
        <w:t>.</w:t>
      </w:r>
      <w:r w:rsidR="00387DF5">
        <w:br w:type="page"/>
      </w:r>
    </w:p>
    <w:p w14:paraId="25E0061D" w14:textId="2944C65B" w:rsidR="00960553" w:rsidRPr="00DF52CD" w:rsidRDefault="00345CCD" w:rsidP="00356893">
      <w:pPr>
        <w:pStyle w:val="TableHeading"/>
        <w:spacing w:before="0"/>
        <w:rPr>
          <w:rFonts w:ascii="Times New Roman" w:hAnsi="Times New Roman"/>
        </w:rPr>
      </w:pPr>
      <w:r w:rsidRPr="00DF52CD">
        <w:lastRenderedPageBreak/>
        <w:t>Table</w:t>
      </w:r>
      <w:r w:rsidR="00971CBF" w:rsidRPr="00DF52CD">
        <w:t xml:space="preserve"> 3.</w:t>
      </w:r>
      <w:r w:rsidRPr="00DF52CD">
        <w:t xml:space="preserve">4: Budgeted </w:t>
      </w:r>
      <w:r w:rsidR="00F10305" w:rsidRPr="00DF52CD">
        <w:t xml:space="preserve">departmental statement of cash flows </w:t>
      </w:r>
      <w:r w:rsidRPr="00DF52CD">
        <w:t>(</w:t>
      </w:r>
      <w:r w:rsidR="00F10305" w:rsidRPr="00DF52CD">
        <w:t>for </w:t>
      </w:r>
      <w:r w:rsidRPr="00DF52CD">
        <w:t>the period ended 30 June)</w:t>
      </w:r>
      <w:r w:rsidR="00BD252D" w:rsidRPr="00DF52CD">
        <w:rPr>
          <w:b w:val="0"/>
        </w:rPr>
        <w:t xml:space="preserve"> </w:t>
      </w:r>
      <w:r w:rsidR="00960553" w:rsidRPr="00DF52CD">
        <w:fldChar w:fldCharType="begin" w:fldLock="1"/>
      </w:r>
      <w:r w:rsidR="00960553" w:rsidRPr="00DF52CD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3.4!R3C1:R37C6" \a \f 4 \h </w:instrText>
      </w:r>
      <w:r w:rsidR="00D15F79" w:rsidRPr="00DF52CD">
        <w:instrText xml:space="preserve"> \* MERGEFORMAT </w:instrText>
      </w:r>
      <w:r w:rsidR="00960553" w:rsidRPr="00DF52CD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53"/>
        <w:gridCol w:w="934"/>
        <w:gridCol w:w="880"/>
        <w:gridCol w:w="881"/>
        <w:gridCol w:w="881"/>
        <w:gridCol w:w="881"/>
      </w:tblGrid>
      <w:tr w:rsidR="00387DF5" w:rsidRPr="00387DF5" w14:paraId="1A041147" w14:textId="77777777" w:rsidTr="00014C2D">
        <w:trPr>
          <w:trHeight w:val="73"/>
        </w:trPr>
        <w:tc>
          <w:tcPr>
            <w:tcW w:w="32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2E7FFB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6F0A4A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18E9D77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2025–26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DFCA60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07B6A8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2027–28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9B1EDF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2028–29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387DF5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387DF5" w:rsidRPr="00387DF5" w14:paraId="574D0C40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1788C4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OPERATING ACTIVITIES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E694FC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6EE297D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BA851E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91882B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21C346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663F990D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DBD974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received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3207B1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C5DCEE4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6E682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55CF5B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00D6DD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529BE7F1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DF6D7A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Appropriations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77AE6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 xml:space="preserve">131,966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86B3B8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 xml:space="preserve">131,519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D873A8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101,318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D9A8E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99,215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329570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100,305 </w:t>
            </w:r>
          </w:p>
        </w:tc>
      </w:tr>
      <w:tr w:rsidR="00387DF5" w:rsidRPr="00387DF5" w14:paraId="0F64E944" w14:textId="77777777" w:rsidTr="00387DF5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1DE4F0" w14:textId="6C77089E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Sale of goods and rendering of</w:t>
            </w: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</w:t>
            </w:r>
            <w:r w:rsidR="00014C2D">
              <w:rPr>
                <w:rFonts w:ascii="Arial" w:hAnsi="Arial" w:cs="Arial"/>
                <w:color w:val="000000"/>
                <w:sz w:val="16"/>
                <w:szCs w:val="16"/>
              </w:rPr>
              <w:t xml:space="preserve">  </w:t>
            </w: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services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4A39B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13,267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16531AC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11,020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2F6E7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11,020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ACF8E2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4,020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D4DE6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4,020 </w:t>
            </w:r>
          </w:p>
        </w:tc>
      </w:tr>
      <w:tr w:rsidR="00387DF5" w:rsidRPr="00387DF5" w14:paraId="012CE1CB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5592FF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Net GST received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F50A71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6,774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19E67AB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5,580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FBE40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5,173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69049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4,543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1F97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4,844 </w:t>
            </w:r>
          </w:p>
        </w:tc>
      </w:tr>
      <w:tr w:rsidR="00387DF5" w:rsidRPr="00387DF5" w14:paraId="1B85FD39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1DED0C2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Other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FB7C2B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9,000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9D74CDD" w14:textId="68B563E1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  <w:r w:rsidR="00014C2D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3AC5DCE" w14:textId="449791DE" w:rsidR="00387DF5" w:rsidRPr="00387DF5" w:rsidRDefault="00014C2D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975F0F" w14:textId="2EA692E1" w:rsidR="00387DF5" w:rsidRPr="00387DF5" w:rsidRDefault="00014C2D" w:rsidP="00014C2D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269745" w14:textId="6299A77F" w:rsidR="00387DF5" w:rsidRPr="00387DF5" w:rsidRDefault="00014C2D" w:rsidP="00014C2D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  <w:r>
              <w:rPr>
                <w:rFonts w:ascii="Times New Roman" w:hAnsi="Times New Roman"/>
                <w:sz w:val="20"/>
              </w:rPr>
              <w:t>-</w:t>
            </w:r>
          </w:p>
        </w:tc>
      </w:tr>
      <w:tr w:rsidR="00387DF5" w:rsidRPr="00387DF5" w14:paraId="243C31E1" w14:textId="77777777" w:rsidTr="00387DF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502E4C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cash received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50D1B7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161,007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42E34F77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148,119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56C5AA7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117,511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8DE8B04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107,778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C87E3D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109,169 </w:t>
            </w:r>
          </w:p>
        </w:tc>
      </w:tr>
      <w:tr w:rsidR="00387DF5" w:rsidRPr="00387DF5" w14:paraId="07032E9D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5253DD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used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6817EE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56AECB7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07E77F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48C3C2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8AD466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39019C45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20038C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Employees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34C26B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72,301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E132AF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79,783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3D9A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59,768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A20E5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57,712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0E348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57,492 </w:t>
            </w:r>
          </w:p>
        </w:tc>
      </w:tr>
      <w:tr w:rsidR="00387DF5" w:rsidRPr="00387DF5" w14:paraId="5E3870FD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D4E7A0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Suppliers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C68F7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64,761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B7A6D6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58,771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39921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48,972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D64DE0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40,975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63767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42,252 </w:t>
            </w:r>
          </w:p>
        </w:tc>
      </w:tr>
      <w:tr w:rsidR="00387DF5" w:rsidRPr="00387DF5" w14:paraId="302F47C9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6537C71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Interest payments on lease liability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9CF6C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1,480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DF729F1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1,369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10D5D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1,232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6E9A540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1,182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756EF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1,107 </w:t>
            </w:r>
          </w:p>
        </w:tc>
      </w:tr>
      <w:tr w:rsidR="00387DF5" w:rsidRPr="00387DF5" w14:paraId="300A421E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E1B121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Other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5500E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335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11157F2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1,115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679C34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E0670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DE8111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</w:tr>
      <w:tr w:rsidR="00387DF5" w:rsidRPr="00387DF5" w14:paraId="16BF8D67" w14:textId="77777777" w:rsidTr="00387DF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9743AE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cash used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0C285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138,877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F73E840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141,038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A18888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109,972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FCCD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99,869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1D1E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100,851 </w:t>
            </w:r>
          </w:p>
        </w:tc>
      </w:tr>
      <w:tr w:rsidR="00387DF5" w:rsidRPr="00387DF5" w14:paraId="313DEA11" w14:textId="77777777" w:rsidTr="00014C2D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A0584C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cash from/(used by)</w:t>
            </w: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operating activities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68381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22,130 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083BE9E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7,081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89E55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7,539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015F2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7,909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C6A894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8,318 </w:t>
            </w:r>
          </w:p>
        </w:tc>
      </w:tr>
      <w:tr w:rsidR="00387DF5" w:rsidRPr="00387DF5" w14:paraId="2237B36E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495FC6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INVESTING ACTIVITIES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EC015A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4FCAC0A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60ED60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7F4B86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8130BE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4A883660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EB4499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used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37FEA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23F2825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F4021D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01D0E0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B70003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36FA70DB" w14:textId="77777777" w:rsidTr="00014C2D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9ADF0F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Purchase of property, plant and</w:t>
            </w: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equipment and intangibles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5E6C28A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15,823 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76605F3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A31A4E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D914AA8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9E9BCB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2,075 </w:t>
            </w:r>
          </w:p>
        </w:tc>
      </w:tr>
      <w:tr w:rsidR="00387DF5" w:rsidRPr="00387DF5" w14:paraId="7F6CA9BF" w14:textId="77777777" w:rsidTr="00014C2D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C8655D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cash used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E5788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15,823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184DA16C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365F8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FCDB0C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C6C3CF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2,075 </w:t>
            </w:r>
          </w:p>
        </w:tc>
      </w:tr>
      <w:tr w:rsidR="00387DF5" w:rsidRPr="00387DF5" w14:paraId="334ADBD0" w14:textId="77777777" w:rsidTr="00014C2D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B8FD8D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cash from/(used by)</w:t>
            </w: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investing activities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E3B2C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(15,823)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74DA09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(1,993)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816416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(2,027)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D7217F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(2,049)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2CD742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(2,075)</w:t>
            </w:r>
          </w:p>
        </w:tc>
      </w:tr>
      <w:tr w:rsidR="00387DF5" w:rsidRPr="00387DF5" w14:paraId="43EF7A79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DF966C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FINANCING ACTIVITIES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AA198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43647CB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6D0F16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E89EC1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1F0AD5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3C2A863D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3A5FC7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received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793DBE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54283CE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C7513F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84CECE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E8469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1AF27D00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6CA0AF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Contributed equity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5D413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49B236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A948FB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61B1F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5BA2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2,075 </w:t>
            </w:r>
          </w:p>
        </w:tc>
      </w:tr>
      <w:tr w:rsidR="00387DF5" w:rsidRPr="00387DF5" w14:paraId="32450B8D" w14:textId="77777777" w:rsidTr="00387DF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B229E3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cash received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4FDCED8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57F50517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DD12E47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CE93B5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A96B25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2,075 </w:t>
            </w:r>
          </w:p>
        </w:tc>
      </w:tr>
      <w:tr w:rsidR="00387DF5" w:rsidRPr="00387DF5" w14:paraId="70D09F1E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D8E66F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used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CEB5F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BAE5414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DC88C9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787B3C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1C7C12" w14:textId="77777777" w:rsidR="00387DF5" w:rsidRPr="00387DF5" w:rsidRDefault="00387DF5" w:rsidP="00014C2D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87DF5" w:rsidRPr="00387DF5" w14:paraId="17156772" w14:textId="77777777" w:rsidTr="00387DF5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54746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387DF5">
              <w:rPr>
                <w:rFonts w:ascii="Arial" w:hAnsi="Arial" w:cs="Arial"/>
                <w:sz w:val="16"/>
                <w:szCs w:val="16"/>
              </w:rPr>
              <w:t>Principal payments on lease liability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3C0832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8,277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E132FB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7,081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B7419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7,539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41C86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7,909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B1479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8,318 </w:t>
            </w:r>
          </w:p>
        </w:tc>
      </w:tr>
      <w:tr w:rsidR="00387DF5" w:rsidRPr="00387DF5" w14:paraId="30E7C885" w14:textId="77777777" w:rsidTr="00387DF5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E3B3C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cash used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7A336D4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8,277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3B7B282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7,081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EC112EC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7,539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FFFDA00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7,909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55B0BF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8,318 </w:t>
            </w:r>
          </w:p>
        </w:tc>
      </w:tr>
      <w:tr w:rsidR="00387DF5" w:rsidRPr="00387DF5" w14:paraId="15C3813E" w14:textId="77777777" w:rsidTr="00387DF5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046777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cash from/(used by)</w:t>
            </w: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financing activities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F020F35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(6,307)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5D0E28F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(5,088)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034654D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(5,512)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C32608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(5,860)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3AED8E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(6,243)</w:t>
            </w:r>
          </w:p>
        </w:tc>
      </w:tr>
      <w:tr w:rsidR="00387DF5" w:rsidRPr="00387DF5" w14:paraId="11AE60E5" w14:textId="77777777" w:rsidTr="00387DF5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41D5E8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increase/(decrease) in cash</w:t>
            </w: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held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0B7E977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- 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0A845F50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FF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FF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34934D1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A7BE49A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DFDEE5D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</w:tr>
      <w:tr w:rsidR="00387DF5" w:rsidRPr="00387DF5" w14:paraId="2D254F6A" w14:textId="77777777" w:rsidTr="00387DF5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C7F573" w14:textId="77777777" w:rsidR="00387DF5" w:rsidRPr="00387DF5" w:rsidRDefault="00387DF5" w:rsidP="00014C2D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>Cash and cash equivalents at the</w:t>
            </w: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beginning of the reporting period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2028D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7CAFDA4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71785B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233DF6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0CC66E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color w:val="000000"/>
                <w:sz w:val="16"/>
                <w:szCs w:val="16"/>
              </w:rPr>
              <w:t xml:space="preserve">249 </w:t>
            </w:r>
          </w:p>
        </w:tc>
      </w:tr>
      <w:tr w:rsidR="00387DF5" w:rsidRPr="00387DF5" w14:paraId="3BE8B34E" w14:textId="77777777" w:rsidTr="00387DF5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646D1A" w14:textId="77777777" w:rsidR="00387DF5" w:rsidRPr="00387DF5" w:rsidRDefault="00387DF5" w:rsidP="00014C2D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and cash equivalents at</w:t>
            </w: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the end of the reporting period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BA3EE3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520B4608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8A8A42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EE6C849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249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9E8F34" w14:textId="77777777" w:rsidR="00387DF5" w:rsidRPr="00387DF5" w:rsidRDefault="00387DF5" w:rsidP="00014C2D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387DF5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249 </w:t>
            </w:r>
          </w:p>
        </w:tc>
      </w:tr>
    </w:tbl>
    <w:p w14:paraId="5E6983D6" w14:textId="466604CA" w:rsidR="0082593D" w:rsidRPr="00DF52CD" w:rsidRDefault="00266433" w:rsidP="00266433">
      <w:pPr>
        <w:pStyle w:val="ChartandTableFootnote"/>
      </w:pPr>
      <w:r w:rsidRPr="00DF52CD">
        <w:t>P</w:t>
      </w:r>
      <w:r w:rsidR="00345CCD" w:rsidRPr="00DF52CD">
        <w:t>repared on Australian Accounting Standards basis.</w:t>
      </w:r>
    </w:p>
    <w:p w14:paraId="432C4610" w14:textId="0A372B59" w:rsidR="00960553" w:rsidRPr="00DF52CD" w:rsidRDefault="000A24C4" w:rsidP="00356893">
      <w:pPr>
        <w:pStyle w:val="TableHeading"/>
        <w:spacing w:before="0"/>
        <w:rPr>
          <w:rFonts w:ascii="Times New Roman" w:hAnsi="Times New Roman"/>
        </w:rPr>
      </w:pPr>
      <w:r w:rsidRPr="00D15F79">
        <w:rPr>
          <w:highlight w:val="green"/>
        </w:rPr>
        <w:br w:type="page"/>
      </w:r>
      <w:r w:rsidR="008B4464" w:rsidRPr="00DF52CD">
        <w:lastRenderedPageBreak/>
        <w:t>Table</w:t>
      </w:r>
      <w:r w:rsidR="00971CBF" w:rsidRPr="00DF52CD">
        <w:t xml:space="preserve"> 3.</w:t>
      </w:r>
      <w:r w:rsidR="008B4464" w:rsidRPr="00DF52CD">
        <w:t xml:space="preserve">5: </w:t>
      </w:r>
      <w:r w:rsidR="00F54947" w:rsidRPr="00DF52CD">
        <w:t xml:space="preserve">Departmental </w:t>
      </w:r>
      <w:r w:rsidR="00F10305" w:rsidRPr="00DF52CD">
        <w:t>capital budget statement</w:t>
      </w:r>
      <w:r w:rsidR="005067C7" w:rsidRPr="00DF52CD">
        <w:t xml:space="preserve"> (for the period ended 30 June)</w:t>
      </w:r>
      <w:r w:rsidR="00960553" w:rsidRPr="00DF52CD">
        <w:fldChar w:fldCharType="begin" w:fldLock="1"/>
      </w:r>
      <w:r w:rsidR="00960553" w:rsidRPr="00DF52CD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3.5!R3C1:R27C6" \a \f 4 \h </w:instrText>
      </w:r>
      <w:r w:rsidR="00D15F79" w:rsidRPr="00DF52CD">
        <w:instrText xml:space="preserve"> \* MERGEFORMAT </w:instrText>
      </w:r>
      <w:r w:rsidR="00960553" w:rsidRPr="00DF52CD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53"/>
        <w:gridCol w:w="934"/>
        <w:gridCol w:w="880"/>
        <w:gridCol w:w="881"/>
        <w:gridCol w:w="881"/>
        <w:gridCol w:w="881"/>
      </w:tblGrid>
      <w:tr w:rsidR="003E5D7E" w:rsidRPr="003E5D7E" w14:paraId="5C8251D1" w14:textId="77777777" w:rsidTr="003E5D7E">
        <w:trPr>
          <w:trHeight w:val="310"/>
        </w:trPr>
        <w:tc>
          <w:tcPr>
            <w:tcW w:w="32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4C2CF9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E6633B4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31DA8C22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2025–26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83EC50D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1A4F41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2027–28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5F27B0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2028–29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3E5D7E" w:rsidRPr="003E5D7E" w14:paraId="41BDF52F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89B8B0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NEW CAPITAL APPROPRIATIONS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7EF1C8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50E6830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BFCDCF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4745E8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51A899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E5D7E" w:rsidRPr="003E5D7E" w14:paraId="1578968A" w14:textId="77777777" w:rsidTr="00471A68">
        <w:trPr>
          <w:trHeight w:val="7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73F2CD" w14:textId="77777777" w:rsidR="003E5D7E" w:rsidRPr="003E5D7E" w:rsidRDefault="003E5D7E" w:rsidP="003E5D7E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Capital budget - Bill 1 (DCB)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367D70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B76F8CB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36C0B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C4DC35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409A9F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52AD0F58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33D844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Total new capital appropriations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FC8205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314C113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3FC5C7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F932EE6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7AEB99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326CE5C9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3276BD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Provided for: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020D59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CC6DD41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230337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i/>
                <w:iCs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3F57E0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B392A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E5D7E" w:rsidRPr="003E5D7E" w14:paraId="5F392876" w14:textId="77777777" w:rsidTr="00471A68">
        <w:trPr>
          <w:trHeight w:val="7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B82E95" w14:textId="77777777" w:rsidR="003E5D7E" w:rsidRPr="003E5D7E" w:rsidRDefault="003E5D7E" w:rsidP="003E5D7E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>Purchase of non-financial assets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FC673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DCCE5B8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95A9AC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9AFF8E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4ABCC8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i/>
                <w:iCs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5FADB598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D20E9C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>Total items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B87450C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1F70B70D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2B3175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E153724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F10730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i/>
                <w:iCs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56A5C416" w14:textId="77777777" w:rsidTr="003E5D7E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1C7D69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PURCHASE OF NON-FINANCIAL</w:t>
            </w: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ASSETS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03DBEB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vAlign w:val="center"/>
            <w:hideMark/>
          </w:tcPr>
          <w:p w14:paraId="651897BE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8237E6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A777A0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A525BE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E5D7E" w:rsidRPr="003E5D7E" w14:paraId="54F5C882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606692" w14:textId="77777777" w:rsidR="003E5D7E" w:rsidRPr="003E5D7E" w:rsidRDefault="003E5D7E" w:rsidP="003E5D7E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Funded by capital appropriations (a)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4BBC10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2,200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D7AA786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79A74E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143D31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7C632F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</w:tr>
      <w:tr w:rsidR="003E5D7E" w:rsidRPr="003E5D7E" w14:paraId="18EAFD0A" w14:textId="77777777" w:rsidTr="003E5D7E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19F32C" w14:textId="77777777" w:rsidR="003E5D7E" w:rsidRPr="003E5D7E" w:rsidRDefault="003E5D7E" w:rsidP="003E5D7E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Funded by capital appropriation -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 xml:space="preserve">  DCB (b)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92D7EC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4,623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67232CD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13D9E9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9B87CE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B59A3D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65023D2E" w14:textId="77777777" w:rsidTr="003E5D7E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FA2B3F" w14:textId="77777777" w:rsidR="003E5D7E" w:rsidRPr="003E5D7E" w:rsidRDefault="003E5D7E" w:rsidP="003E5D7E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Funded internally from departmental</w:t>
            </w:r>
            <w:r w:rsidRPr="003E5D7E">
              <w:rPr>
                <w:rFonts w:ascii="Arial" w:hAnsi="Arial" w:cs="Arial"/>
                <w:sz w:val="16"/>
                <w:szCs w:val="16"/>
              </w:rPr>
              <w:br/>
              <w:t xml:space="preserve">  resources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59D5B8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9,000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5A68D8C5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50F11C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3E7618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455608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</w:tr>
      <w:tr w:rsidR="003E5D7E" w:rsidRPr="003E5D7E" w14:paraId="3C9EDCDD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F20A78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8861A1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15,823 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541634A1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EDE7D7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BE41DC4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956A904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62F34504" w14:textId="77777777" w:rsidTr="003E5D7E">
        <w:trPr>
          <w:trHeight w:val="67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58BDF08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RECONCILIATION OF CASH USED</w:t>
            </w: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TO ACQUIRE ASSETS TO ASSET</w:t>
            </w: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MOVEMENT TABLE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7FA17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142296F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3C6270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9937BA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FBE0FE" w14:textId="77777777" w:rsidR="003E5D7E" w:rsidRPr="003E5D7E" w:rsidRDefault="003E5D7E" w:rsidP="003E5D7E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3E5D7E" w:rsidRPr="003E5D7E" w14:paraId="4F1A4603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AB9501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>Total purchases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800614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68760860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C4649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911837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5ACA92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3E5D7E">
              <w:rPr>
                <w:rFonts w:ascii="Arial" w:hAnsi="Arial" w:cs="Arial"/>
                <w:sz w:val="16"/>
                <w:szCs w:val="16"/>
              </w:rPr>
              <w:t xml:space="preserve">2,075 </w:t>
            </w:r>
          </w:p>
        </w:tc>
      </w:tr>
      <w:tr w:rsidR="003E5D7E" w:rsidRPr="003E5D7E" w14:paraId="581BD1A5" w14:textId="77777777" w:rsidTr="003E5D7E">
        <w:trPr>
          <w:trHeight w:val="244"/>
        </w:trPr>
        <w:tc>
          <w:tcPr>
            <w:tcW w:w="32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DFCCE69" w14:textId="77777777" w:rsidR="003E5D7E" w:rsidRPr="003E5D7E" w:rsidRDefault="003E5D7E" w:rsidP="003E5D7E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>Total cash used to acquire assets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6876C83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1,970 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45A9351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1,993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1D246F9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2,027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F968F1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2,049 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D3BBF04" w14:textId="77777777" w:rsidR="003E5D7E" w:rsidRPr="003E5D7E" w:rsidRDefault="003E5D7E" w:rsidP="003E5D7E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3E5D7E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2,075 </w:t>
            </w:r>
          </w:p>
        </w:tc>
      </w:tr>
    </w:tbl>
    <w:p w14:paraId="3238E9BE" w14:textId="69C515A5" w:rsidR="00D606C2" w:rsidRPr="00DF52CD" w:rsidRDefault="001A3FDA" w:rsidP="00446EE2">
      <w:pPr>
        <w:pStyle w:val="ChartandTableFootnote"/>
      </w:pPr>
      <w:r w:rsidRPr="00DF52CD">
        <w:t>P</w:t>
      </w:r>
      <w:r w:rsidR="00D606C2" w:rsidRPr="00DF52CD">
        <w:t>repared on Australian Accounting Standards basis.</w:t>
      </w:r>
    </w:p>
    <w:p w14:paraId="4C6BE4D5" w14:textId="07646554" w:rsidR="00F20FF5" w:rsidRPr="00DF52CD" w:rsidRDefault="00F20FF5" w:rsidP="00356893">
      <w:pPr>
        <w:pStyle w:val="ChartandTableFootnoteAlpha"/>
        <w:numPr>
          <w:ilvl w:val="0"/>
          <w:numId w:val="34"/>
        </w:numPr>
        <w:rPr>
          <w:rFonts w:cs="Arial"/>
        </w:rPr>
      </w:pPr>
      <w:r w:rsidRPr="00DF52CD">
        <w:rPr>
          <w:rFonts w:cs="Arial"/>
        </w:rPr>
        <w:t xml:space="preserve">Includes </w:t>
      </w:r>
      <w:r w:rsidR="160C83AA" w:rsidRPr="00DF52CD">
        <w:rPr>
          <w:rFonts w:cs="Arial"/>
        </w:rPr>
        <w:t xml:space="preserve">Appropriation </w:t>
      </w:r>
      <w:r w:rsidRPr="00DF52CD">
        <w:rPr>
          <w:rFonts w:cs="Arial"/>
        </w:rPr>
        <w:t xml:space="preserve">Act </w:t>
      </w:r>
      <w:r w:rsidR="08F1E4E0" w:rsidRPr="00DF52CD">
        <w:rPr>
          <w:rFonts w:cs="Arial"/>
        </w:rPr>
        <w:t xml:space="preserve">(No. </w:t>
      </w:r>
      <w:r w:rsidRPr="00DF52CD">
        <w:rPr>
          <w:rFonts w:cs="Arial"/>
        </w:rPr>
        <w:t>4</w:t>
      </w:r>
      <w:r w:rsidR="20C68186" w:rsidRPr="00DF52CD">
        <w:rPr>
          <w:rFonts w:cs="Arial"/>
        </w:rPr>
        <w:t>)</w:t>
      </w:r>
      <w:r w:rsidR="00A20A68">
        <w:rPr>
          <w:rFonts w:cs="Arial"/>
        </w:rPr>
        <w:t xml:space="preserve"> appropriations</w:t>
      </w:r>
      <w:r w:rsidR="00D52088" w:rsidRPr="00DF52CD">
        <w:rPr>
          <w:rFonts w:cs="Arial"/>
        </w:rPr>
        <w:t>.</w:t>
      </w:r>
    </w:p>
    <w:p w14:paraId="62368BCE" w14:textId="76B6D37B" w:rsidR="00F20FF5" w:rsidRPr="00DF52CD" w:rsidRDefault="00F20FF5" w:rsidP="000053CF">
      <w:pPr>
        <w:pStyle w:val="ChartandTableFootnoteAlpha"/>
        <w:spacing w:line="259" w:lineRule="auto"/>
        <w:rPr>
          <w:rFonts w:cs="Arial"/>
          <w:color w:val="000000" w:themeColor="text1"/>
          <w:szCs w:val="16"/>
        </w:rPr>
      </w:pPr>
      <w:r w:rsidRPr="00DF52CD">
        <w:rPr>
          <w:rFonts w:cs="Arial"/>
        </w:rPr>
        <w:t>Includes purchases from current an</w:t>
      </w:r>
      <w:r w:rsidR="00EE2ED0" w:rsidRPr="00DF52CD">
        <w:rPr>
          <w:rFonts w:cs="Arial"/>
        </w:rPr>
        <w:t>d previous years</w:t>
      </w:r>
      <w:r w:rsidR="00AF213C" w:rsidRPr="00DF52CD">
        <w:rPr>
          <w:rFonts w:cs="Arial"/>
        </w:rPr>
        <w:t>’</w:t>
      </w:r>
      <w:r w:rsidR="00EE2ED0" w:rsidRPr="00DF52CD">
        <w:rPr>
          <w:rFonts w:cs="Arial"/>
        </w:rPr>
        <w:t xml:space="preserve"> Departmental </w:t>
      </w:r>
      <w:r w:rsidR="003F0C87">
        <w:rPr>
          <w:rFonts w:cs="Arial"/>
        </w:rPr>
        <w:t>c</w:t>
      </w:r>
      <w:r w:rsidRPr="00DF52CD">
        <w:rPr>
          <w:rFonts w:cs="Arial"/>
        </w:rPr>
        <w:t xml:space="preserve">apital </w:t>
      </w:r>
      <w:r w:rsidR="003F0C87">
        <w:rPr>
          <w:rFonts w:cs="Arial"/>
        </w:rPr>
        <w:t>b</w:t>
      </w:r>
      <w:r w:rsidRPr="00DF52CD">
        <w:rPr>
          <w:rFonts w:cs="Arial"/>
        </w:rPr>
        <w:t>udgets (DCBs).</w:t>
      </w:r>
    </w:p>
    <w:p w14:paraId="1EFC2599" w14:textId="77777777" w:rsidR="00E855E0" w:rsidRPr="00D15F79" w:rsidRDefault="00E855E0" w:rsidP="0061675B">
      <w:pPr>
        <w:pStyle w:val="NoSpacing"/>
        <w:rPr>
          <w:highlight w:val="green"/>
        </w:rPr>
      </w:pPr>
    </w:p>
    <w:p w14:paraId="4A3B2311" w14:textId="4AEFE29E" w:rsidR="007B6AE6" w:rsidRDefault="007B6AE6">
      <w:pPr>
        <w:spacing w:before="0" w:after="0" w:line="240" w:lineRule="auto"/>
        <w:rPr>
          <w:i/>
          <w:color w:val="FF0000"/>
          <w:highlight w:val="green"/>
        </w:rPr>
      </w:pPr>
      <w:r>
        <w:rPr>
          <w:highlight w:val="green"/>
        </w:rPr>
        <w:br w:type="page"/>
      </w:r>
    </w:p>
    <w:p w14:paraId="3071574D" w14:textId="77777777" w:rsidR="007B6AE6" w:rsidRPr="00390846" w:rsidRDefault="007B6AE6" w:rsidP="00356893">
      <w:pPr>
        <w:pStyle w:val="TableHeading"/>
        <w:spacing w:before="0"/>
        <w:rPr>
          <w:rFonts w:ascii="Times New Roman" w:hAnsi="Times New Roman"/>
        </w:rPr>
      </w:pPr>
      <w:r w:rsidRPr="00390846">
        <w:lastRenderedPageBreak/>
        <w:t>Table 3.6: Statement of departmental asset movements (Budget year 2025–26)</w:t>
      </w:r>
      <w:r w:rsidRPr="00390846">
        <w:fldChar w:fldCharType="begin" w:fldLock="1"/>
      </w:r>
      <w:r w:rsidRPr="00390846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3.6!R3C1:R21C10" \a \f 4 \h  \* MERGEFORMAT </w:instrText>
      </w:r>
      <w:r w:rsidRPr="00390846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678"/>
        <w:gridCol w:w="1007"/>
        <w:gridCol w:w="1009"/>
        <w:gridCol w:w="1009"/>
        <w:gridCol w:w="1007"/>
      </w:tblGrid>
      <w:tr w:rsidR="004D22AA" w:rsidRPr="004D22AA" w14:paraId="0E567ECB" w14:textId="77777777" w:rsidTr="004D22AA">
        <w:trPr>
          <w:trHeight w:val="168"/>
        </w:trPr>
        <w:tc>
          <w:tcPr>
            <w:tcW w:w="3678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63577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 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hideMark/>
          </w:tcPr>
          <w:p w14:paraId="696E10F6" w14:textId="55701254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Building</w:t>
            </w:r>
            <w:r>
              <w:rPr>
                <w:rFonts w:ascii="Arial" w:hAnsi="Arial" w:cs="Arial"/>
                <w:sz w:val="16"/>
                <w:szCs w:val="16"/>
              </w:rPr>
              <w:t>s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hideMark/>
          </w:tcPr>
          <w:p w14:paraId="3E8D9B96" w14:textId="2211812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Other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>property,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>plant and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>equipment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hideMark/>
          </w:tcPr>
          <w:p w14:paraId="5996AABF" w14:textId="26C6A462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Computer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>software and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>intangibles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right w:val="nil"/>
            </w:tcBorders>
            <w:shd w:val="clear" w:color="auto" w:fill="auto"/>
            <w:hideMark/>
          </w:tcPr>
          <w:p w14:paraId="042158C0" w14:textId="301F1580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Total</w:t>
            </w:r>
          </w:p>
        </w:tc>
      </w:tr>
      <w:tr w:rsidR="004D22AA" w:rsidRPr="004D22AA" w14:paraId="26B1126F" w14:textId="77777777" w:rsidTr="004D22AA">
        <w:trPr>
          <w:trHeight w:val="168"/>
        </w:trPr>
        <w:tc>
          <w:tcPr>
            <w:tcW w:w="3678" w:type="dxa"/>
            <w:tcBorders>
              <w:left w:val="nil"/>
              <w:right w:val="nil"/>
            </w:tcBorders>
            <w:shd w:val="clear" w:color="auto" w:fill="auto"/>
            <w:noWrap/>
            <w:vAlign w:val="center"/>
          </w:tcPr>
          <w:p w14:paraId="237A34D2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sz w:val="16"/>
                <w:szCs w:val="16"/>
              </w:rPr>
            </w:pPr>
          </w:p>
        </w:tc>
        <w:tc>
          <w:tcPr>
            <w:tcW w:w="100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22491B15" w14:textId="7059320F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$'000</w:t>
            </w:r>
          </w:p>
        </w:tc>
        <w:tc>
          <w:tcPr>
            <w:tcW w:w="1009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69A0B058" w14:textId="28E269CE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$'000</w:t>
            </w:r>
          </w:p>
        </w:tc>
        <w:tc>
          <w:tcPr>
            <w:tcW w:w="1009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549A1741" w14:textId="1101BD29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$'000</w:t>
            </w:r>
          </w:p>
        </w:tc>
        <w:tc>
          <w:tcPr>
            <w:tcW w:w="1007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</w:tcPr>
          <w:p w14:paraId="367AF90C" w14:textId="0AC27FA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$'000</w:t>
            </w:r>
          </w:p>
        </w:tc>
      </w:tr>
      <w:tr w:rsidR="004D22AA" w:rsidRPr="004D22AA" w14:paraId="4D577CC2" w14:textId="77777777" w:rsidTr="004D22AA">
        <w:trPr>
          <w:trHeight w:val="225"/>
        </w:trPr>
        <w:tc>
          <w:tcPr>
            <w:tcW w:w="3678" w:type="dxa"/>
            <w:tcBorders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274AD856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As at 1 July 2025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5A239F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57670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6D5AEB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58DA2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4D22AA" w:rsidRPr="004D22AA" w14:paraId="2F096551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059FC10" w14:textId="77777777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Gross book value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7C6A3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24,960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BFC000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6,376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9075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7,580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BAB04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38,916 </w:t>
            </w:r>
          </w:p>
        </w:tc>
      </w:tr>
      <w:tr w:rsidR="004D22AA" w:rsidRPr="004D22AA" w14:paraId="1BFD0BEC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809FE2" w14:textId="77777777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Gross book value - ROU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82513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84,006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72294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362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59C00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E695E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84,368 </w:t>
            </w:r>
          </w:p>
        </w:tc>
      </w:tr>
      <w:tr w:rsidR="004D22AA" w:rsidRPr="004D22AA" w14:paraId="5F39D243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55BF2F3B" w14:textId="757A90BF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Accumulated depreciation/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</w:r>
            <w:r w:rsidR="00A055A3">
              <w:rPr>
                <w:rFonts w:ascii="Arial" w:hAnsi="Arial" w:cs="Arial"/>
                <w:sz w:val="16"/>
                <w:szCs w:val="16"/>
              </w:rPr>
              <w:t xml:space="preserve">   </w:t>
            </w:r>
            <w:r w:rsidRPr="004D22AA">
              <w:rPr>
                <w:rFonts w:ascii="Arial" w:hAnsi="Arial" w:cs="Arial"/>
                <w:sz w:val="16"/>
                <w:szCs w:val="16"/>
              </w:rPr>
              <w:t>amortisation and impairment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83C3C0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(5,685)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F9640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(1,855)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7E709B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(6,775)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B28F8C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(14,315)</w:t>
            </w:r>
          </w:p>
        </w:tc>
      </w:tr>
      <w:tr w:rsidR="004D22AA" w:rsidRPr="004D22AA" w14:paraId="3AD09EF9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C797DD1" w14:textId="77777777" w:rsidR="00A055A3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Accumulated depreciation/amortisation and </w:t>
            </w:r>
          </w:p>
          <w:p w14:paraId="484448EE" w14:textId="222C6709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impairment - ROU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AE9E3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(39,832)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F86FF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(282)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EBEB09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A49AB9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(40,114)</w:t>
            </w:r>
          </w:p>
        </w:tc>
      </w:tr>
      <w:tr w:rsidR="004D22AA" w:rsidRPr="004D22AA" w14:paraId="29B0E3F3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06F825B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Opening net book balance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E8DD57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63,449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8004E3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4,601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48275F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805 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1B419C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68,855 </w:t>
            </w:r>
          </w:p>
        </w:tc>
      </w:tr>
      <w:tr w:rsidR="004D22AA" w:rsidRPr="004D22AA" w14:paraId="446D8401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225B8CC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Capital asset additions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2F2393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74CAD2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95B3FB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2667EC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4D22AA" w:rsidRPr="004D22AA" w14:paraId="5FEEF987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386DE7D7" w14:textId="77777777" w:rsidR="004D22AA" w:rsidRPr="004D22AA" w:rsidRDefault="004D22AA" w:rsidP="004D22AA">
            <w:pPr>
              <w:spacing w:before="20" w:after="20" w:line="240" w:lineRule="auto"/>
              <w:ind w:firstLineChars="100" w:firstLine="161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Estimated expenditure on new</w:t>
            </w: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br/>
              <w:t xml:space="preserve">  or replacement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63F5E6" w14:textId="77777777" w:rsidR="004D22AA" w:rsidRPr="004D22AA" w:rsidRDefault="004D22AA" w:rsidP="004D22AA">
            <w:pPr>
              <w:spacing w:before="20" w:after="20" w:line="240" w:lineRule="auto"/>
              <w:ind w:firstLineChars="100" w:firstLine="161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DD6DBD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DC7EF28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2EC958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4D22AA" w:rsidRPr="004D22AA" w14:paraId="6405CEDF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74DCC672" w14:textId="77777777" w:rsidR="00A055A3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By purchase - appropriation ordinary annual </w:t>
            </w:r>
          </w:p>
          <w:p w14:paraId="6DE79199" w14:textId="1C89FDDD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services (a)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C98773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280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5E442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1,013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68A1C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700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12DF1A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1,993 </w:t>
            </w:r>
          </w:p>
        </w:tc>
      </w:tr>
      <w:tr w:rsidR="004D22AA" w:rsidRPr="004D22AA" w14:paraId="482FAE3B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DDE268A" w14:textId="4311BB52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By purchase - appropriation equity - 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 xml:space="preserve"> </w:t>
            </w:r>
            <w:r w:rsidR="00A055A3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D22AA">
              <w:rPr>
                <w:rFonts w:ascii="Arial" w:hAnsi="Arial" w:cs="Arial"/>
                <w:sz w:val="16"/>
                <w:szCs w:val="16"/>
              </w:rPr>
              <w:t xml:space="preserve"> ROU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95AB1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2,000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991AFB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160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ACF17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B92E3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2,160 </w:t>
            </w:r>
          </w:p>
        </w:tc>
      </w:tr>
      <w:tr w:rsidR="004D22AA" w:rsidRPr="004D22AA" w14:paraId="797DD059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83BDFA1" w14:textId="77777777" w:rsidR="004D22AA" w:rsidRPr="004D22AA" w:rsidRDefault="004D22AA" w:rsidP="004D22AA">
            <w:pPr>
              <w:spacing w:before="20" w:after="20" w:line="240" w:lineRule="auto"/>
              <w:ind w:firstLineChars="100" w:firstLine="161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Total additions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BFF074B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2,280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C79FFC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1,173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517B49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700 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F37935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4,153 </w:t>
            </w:r>
          </w:p>
        </w:tc>
      </w:tr>
      <w:tr w:rsidR="004D22AA" w:rsidRPr="004D22AA" w14:paraId="7CDE0379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AAEEE53" w14:textId="77777777" w:rsidR="004D22AA" w:rsidRPr="004D22AA" w:rsidRDefault="004D22AA" w:rsidP="004D22AA">
            <w:pPr>
              <w:spacing w:before="20" w:after="20" w:line="240" w:lineRule="auto"/>
              <w:ind w:firstLineChars="100" w:firstLine="161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Other movements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9DA11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F97F1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4C341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37220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</w:tr>
      <w:tr w:rsidR="004D22AA" w:rsidRPr="004D22AA" w14:paraId="4A7C212B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6C382E98" w14:textId="77777777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Depreciation/amortisation expense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05DF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(3,232)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01204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(1,354)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40E87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(519)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22E36F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(5,105)</w:t>
            </w:r>
          </w:p>
        </w:tc>
      </w:tr>
      <w:tr w:rsidR="004D22AA" w:rsidRPr="004D22AA" w14:paraId="707D0916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711549A" w14:textId="5B057BCA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Depreciation/amortisation on 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 xml:space="preserve"> </w:t>
            </w:r>
            <w:r w:rsidR="00A055A3">
              <w:rPr>
                <w:rFonts w:ascii="Arial" w:hAnsi="Arial" w:cs="Arial"/>
                <w:sz w:val="16"/>
                <w:szCs w:val="16"/>
              </w:rPr>
              <w:t xml:space="preserve">  </w:t>
            </w:r>
            <w:r w:rsidRPr="004D22AA">
              <w:rPr>
                <w:rFonts w:ascii="Arial" w:hAnsi="Arial" w:cs="Arial"/>
                <w:sz w:val="16"/>
                <w:szCs w:val="16"/>
              </w:rPr>
              <w:t>ROU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0EE75397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(7,074)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000000" w:fill="FFFFFF"/>
            <w:noWrap/>
            <w:vAlign w:val="center"/>
            <w:hideMark/>
          </w:tcPr>
          <w:p w14:paraId="5B7E91CF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(100)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AC96C1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203ACF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(7,174)</w:t>
            </w:r>
          </w:p>
        </w:tc>
      </w:tr>
      <w:tr w:rsidR="004D22AA" w:rsidRPr="004D22AA" w14:paraId="39B95B0B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07D294CB" w14:textId="77777777" w:rsidR="004D22AA" w:rsidRPr="004D22AA" w:rsidRDefault="004D22AA" w:rsidP="004D22AA">
            <w:pPr>
              <w:spacing w:before="20" w:after="20" w:line="240" w:lineRule="auto"/>
              <w:ind w:firstLineChars="100" w:firstLine="161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Total other movements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4A2F6B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(10,306)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DF31C0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(1,454)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84953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(519)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5CA881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(12,279)</w:t>
            </w:r>
          </w:p>
        </w:tc>
      </w:tr>
      <w:tr w:rsidR="004D22AA" w:rsidRPr="004D22AA" w14:paraId="552FAABC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bottom"/>
            <w:hideMark/>
          </w:tcPr>
          <w:p w14:paraId="16E68A58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As at 30 June 2026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56012D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77DF74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4699D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148B44" w14:textId="77777777" w:rsidR="004D22AA" w:rsidRPr="004D22AA" w:rsidRDefault="004D22AA" w:rsidP="004D22AA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4D22AA" w:rsidRPr="004D22AA" w14:paraId="419E5523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B5D1E1" w14:textId="77777777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Gross book value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41679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25,240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2F4D2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7,389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AF36B8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8,280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D3061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40,909 </w:t>
            </w:r>
          </w:p>
        </w:tc>
      </w:tr>
      <w:tr w:rsidR="004D22AA" w:rsidRPr="004D22AA" w14:paraId="27E2948C" w14:textId="77777777" w:rsidTr="004D22AA">
        <w:trPr>
          <w:trHeight w:val="225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234E7F1" w14:textId="77777777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Gross book value - ROU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30CA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86,006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F91F22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522 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2C4BAB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5FC3A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86,528 </w:t>
            </w:r>
          </w:p>
        </w:tc>
      </w:tr>
      <w:tr w:rsidR="004D22AA" w:rsidRPr="004D22AA" w14:paraId="122CAF60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698A63" w14:textId="2958C145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Accumulated depreciation/</w:t>
            </w:r>
            <w:r w:rsidRPr="004D22AA">
              <w:rPr>
                <w:rFonts w:ascii="Arial" w:hAnsi="Arial" w:cs="Arial"/>
                <w:sz w:val="16"/>
                <w:szCs w:val="16"/>
              </w:rPr>
              <w:br/>
              <w:t xml:space="preserve"> </w:t>
            </w:r>
            <w:r w:rsidR="00A055A3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Pr="004D22AA">
              <w:rPr>
                <w:rFonts w:ascii="Arial" w:hAnsi="Arial" w:cs="Arial"/>
                <w:sz w:val="16"/>
                <w:szCs w:val="16"/>
              </w:rPr>
              <w:t xml:space="preserve"> amortisation and impairment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ED56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(8,917)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7D974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(3,209)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223885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(7,294)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F0E1A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(19,420)</w:t>
            </w:r>
          </w:p>
        </w:tc>
      </w:tr>
      <w:tr w:rsidR="004D22AA" w:rsidRPr="004D22AA" w14:paraId="13685E39" w14:textId="77777777" w:rsidTr="004D22AA">
        <w:trPr>
          <w:trHeight w:val="450"/>
        </w:trPr>
        <w:tc>
          <w:tcPr>
            <w:tcW w:w="367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AEE87F" w14:textId="77777777" w:rsidR="00A055A3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Accumulated depreciation/amortisation and </w:t>
            </w:r>
          </w:p>
          <w:p w14:paraId="5750A4A1" w14:textId="38AEB6FD" w:rsidR="004D22AA" w:rsidRPr="004D22AA" w:rsidRDefault="004D22AA" w:rsidP="004D22AA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impairment - ROU assets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C89B8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(46,906)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02E76D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(382)</w:t>
            </w:r>
          </w:p>
        </w:tc>
        <w:tc>
          <w:tcPr>
            <w:tcW w:w="100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751D96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 xml:space="preserve">- </w:t>
            </w:r>
          </w:p>
        </w:tc>
        <w:tc>
          <w:tcPr>
            <w:tcW w:w="100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FCC6EF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4D22AA">
              <w:rPr>
                <w:rFonts w:ascii="Arial" w:hAnsi="Arial" w:cs="Arial"/>
                <w:sz w:val="16"/>
                <w:szCs w:val="16"/>
              </w:rPr>
              <w:t>(47,288)</w:t>
            </w:r>
          </w:p>
        </w:tc>
      </w:tr>
      <w:tr w:rsidR="004D22AA" w:rsidRPr="004D22AA" w14:paraId="522C985F" w14:textId="77777777" w:rsidTr="004D22AA">
        <w:trPr>
          <w:trHeight w:val="229"/>
        </w:trPr>
        <w:tc>
          <w:tcPr>
            <w:tcW w:w="367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5F3684E" w14:textId="77777777" w:rsidR="004D22AA" w:rsidRPr="004D22AA" w:rsidRDefault="004D22AA" w:rsidP="004D22AA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>Closing net book balance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F549A3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55,423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E16A8C4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4,320 </w:t>
            </w:r>
          </w:p>
        </w:tc>
        <w:tc>
          <w:tcPr>
            <w:tcW w:w="100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65523AC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986 </w:t>
            </w:r>
          </w:p>
        </w:tc>
        <w:tc>
          <w:tcPr>
            <w:tcW w:w="100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46475C" w14:textId="77777777" w:rsidR="004D22AA" w:rsidRPr="004D22AA" w:rsidRDefault="004D22AA" w:rsidP="004D22AA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4D22AA">
              <w:rPr>
                <w:rFonts w:ascii="Arial" w:hAnsi="Arial" w:cs="Arial"/>
                <w:b/>
                <w:bCs/>
                <w:sz w:val="16"/>
                <w:szCs w:val="16"/>
              </w:rPr>
              <w:t xml:space="preserve">60,729 </w:t>
            </w:r>
          </w:p>
        </w:tc>
      </w:tr>
    </w:tbl>
    <w:p w14:paraId="03CE9AAE" w14:textId="77777777" w:rsidR="00324660" w:rsidRPr="00390846" w:rsidRDefault="00324660" w:rsidP="00324660">
      <w:pPr>
        <w:pStyle w:val="ChartandTableFootnote"/>
      </w:pPr>
      <w:r w:rsidRPr="00390846">
        <w:t>Prepared on Australian Accounting Standards basis.</w:t>
      </w:r>
    </w:p>
    <w:p w14:paraId="6FD592B3" w14:textId="5084FABF" w:rsidR="007B6AE6" w:rsidRPr="00390846" w:rsidRDefault="005F2893" w:rsidP="00356893">
      <w:pPr>
        <w:pStyle w:val="ChartandTableFootnoteAlpha"/>
        <w:numPr>
          <w:ilvl w:val="0"/>
          <w:numId w:val="36"/>
        </w:numPr>
        <w:rPr>
          <w:i/>
          <w:color w:val="FF0000"/>
        </w:rPr>
      </w:pPr>
      <w:r w:rsidRPr="00390846">
        <w:rPr>
          <w:rFonts w:cs="Arial"/>
        </w:rPr>
        <w:t>‘Appropriation ordinary annual services’ refers to funding provided through Appropriation Bill (No. 1) 2025</w:t>
      </w:r>
      <w:r w:rsidR="00E612A3" w:rsidRPr="00390846">
        <w:rPr>
          <w:rFonts w:cs="Arial"/>
        </w:rPr>
        <w:t>–</w:t>
      </w:r>
      <w:r w:rsidRPr="00390846">
        <w:rPr>
          <w:rFonts w:cs="Arial"/>
        </w:rPr>
        <w:t xml:space="preserve">2026 </w:t>
      </w:r>
      <w:r w:rsidR="00E612A3" w:rsidRPr="00390846">
        <w:rPr>
          <w:rFonts w:cs="Arial"/>
        </w:rPr>
        <w:t xml:space="preserve">and Supply Bill (No. 1) 2025–2026 </w:t>
      </w:r>
      <w:r w:rsidRPr="00390846">
        <w:rPr>
          <w:rFonts w:cs="Arial"/>
        </w:rPr>
        <w:t>for depreciation/amortisation expenses, DCBs or other operational expenses.</w:t>
      </w:r>
      <w:r w:rsidR="007B6AE6" w:rsidRPr="00390846">
        <w:br w:type="page"/>
      </w:r>
    </w:p>
    <w:p w14:paraId="08F67BAA" w14:textId="127E36A1" w:rsidR="00960553" w:rsidRPr="00390846" w:rsidRDefault="00D30CBA" w:rsidP="00356893">
      <w:pPr>
        <w:pStyle w:val="TableHeading"/>
        <w:spacing w:before="0"/>
        <w:rPr>
          <w:b w:val="0"/>
        </w:rPr>
      </w:pPr>
      <w:r w:rsidRPr="00390846">
        <w:lastRenderedPageBreak/>
        <w:t>Table</w:t>
      </w:r>
      <w:r w:rsidR="00971CBF" w:rsidRPr="00390846">
        <w:t xml:space="preserve"> 3.</w:t>
      </w:r>
      <w:r w:rsidR="00B93884" w:rsidRPr="00390846">
        <w:t>7</w:t>
      </w:r>
      <w:r w:rsidRPr="00390846">
        <w:t xml:space="preserve">: Schedule of </w:t>
      </w:r>
      <w:r w:rsidR="00F10305" w:rsidRPr="00390846">
        <w:t>budgeted income and expenses administered on behalf of</w:t>
      </w:r>
      <w:r w:rsidR="002C7A63" w:rsidRPr="00390846">
        <w:t xml:space="preserve"> G</w:t>
      </w:r>
      <w:r w:rsidRPr="00390846">
        <w:t>ove</w:t>
      </w:r>
      <w:r w:rsidR="004F5573" w:rsidRPr="00390846">
        <w:t>rnment (for the period ended 30 </w:t>
      </w:r>
      <w:r w:rsidRPr="00390846">
        <w:t>June)</w:t>
      </w:r>
      <w:r w:rsidR="00BD252D" w:rsidRPr="00390846">
        <w:rPr>
          <w:b w:val="0"/>
        </w:rPr>
        <w:t xml:space="preserve"> 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82"/>
        <w:gridCol w:w="932"/>
        <w:gridCol w:w="871"/>
        <w:gridCol w:w="875"/>
        <w:gridCol w:w="875"/>
        <w:gridCol w:w="875"/>
      </w:tblGrid>
      <w:tr w:rsidR="008E2A48" w:rsidRPr="008E2A48" w14:paraId="0CBAFED1" w14:textId="77777777" w:rsidTr="00111A54">
        <w:trPr>
          <w:trHeight w:val="214"/>
        </w:trPr>
        <w:tc>
          <w:tcPr>
            <w:tcW w:w="328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9D35C5C" w14:textId="77777777" w:rsidR="008E2A48" w:rsidRPr="008E2A48" w:rsidRDefault="008E2A48" w:rsidP="005A0F84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C8B036C" w14:textId="77777777" w:rsidR="008E2A48" w:rsidRPr="008E2A48" w:rsidRDefault="008E2A48" w:rsidP="005A0F8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E2A48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0C0F2373" w14:textId="77777777" w:rsidR="008E2A48" w:rsidRPr="008E2A48" w:rsidRDefault="008E2A48" w:rsidP="005A0F8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E2A48">
              <w:rPr>
                <w:rFonts w:ascii="Arial" w:hAnsi="Arial" w:cs="Arial"/>
                <w:sz w:val="16"/>
                <w:szCs w:val="16"/>
              </w:rPr>
              <w:t>2025–26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BCFA4C1" w14:textId="77777777" w:rsidR="008E2A48" w:rsidRPr="008E2A48" w:rsidRDefault="008E2A48" w:rsidP="005A0F8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E2A48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7F05FE0" w14:textId="77777777" w:rsidR="008E2A48" w:rsidRPr="008E2A48" w:rsidRDefault="008E2A48" w:rsidP="005A0F8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E2A48">
              <w:rPr>
                <w:rFonts w:ascii="Arial" w:hAnsi="Arial" w:cs="Arial"/>
                <w:sz w:val="16"/>
                <w:szCs w:val="16"/>
              </w:rPr>
              <w:t>2027–28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B9ACD18" w14:textId="77777777" w:rsidR="008E2A48" w:rsidRPr="008E2A48" w:rsidRDefault="008E2A48" w:rsidP="005A0F84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8E2A48">
              <w:rPr>
                <w:rFonts w:ascii="Arial" w:hAnsi="Arial" w:cs="Arial"/>
                <w:sz w:val="16"/>
                <w:szCs w:val="16"/>
              </w:rPr>
              <w:t>2028–29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8E2A4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8E2A48" w:rsidRPr="008E2A48" w14:paraId="2A75001E" w14:textId="77777777" w:rsidTr="00111A54">
        <w:trPr>
          <w:trHeight w:val="233"/>
        </w:trPr>
        <w:tc>
          <w:tcPr>
            <w:tcW w:w="3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E5D62" w14:textId="77777777" w:rsidR="008E2A48" w:rsidRPr="008E2A48" w:rsidRDefault="008E2A48" w:rsidP="005A0F84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EXPENSES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1610E" w14:textId="77777777" w:rsidR="008E2A48" w:rsidRPr="008E2A48" w:rsidRDefault="008E2A48" w:rsidP="005A0F84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85511A7" w14:textId="77777777" w:rsidR="008E2A48" w:rsidRPr="008E2A48" w:rsidRDefault="008E2A48" w:rsidP="005A0F84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931D05" w14:textId="77777777" w:rsidR="008E2A48" w:rsidRPr="008E2A48" w:rsidRDefault="008E2A48" w:rsidP="005A0F84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0CD0B20" w14:textId="77777777" w:rsidR="008E2A48" w:rsidRPr="008E2A48" w:rsidRDefault="008E2A48" w:rsidP="005A0F84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30C151" w14:textId="77777777" w:rsidR="008E2A48" w:rsidRPr="008E2A48" w:rsidRDefault="008E2A48" w:rsidP="005A0F84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111A54" w:rsidRPr="008E2A48" w14:paraId="06D4669B" w14:textId="77777777" w:rsidTr="00111A54">
        <w:trPr>
          <w:trHeight w:val="233"/>
        </w:trPr>
        <w:tc>
          <w:tcPr>
            <w:tcW w:w="3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924182" w14:textId="44301A0E" w:rsidR="00111A54" w:rsidRPr="008E2A48" w:rsidRDefault="00111A54" w:rsidP="00111A54">
            <w:pPr>
              <w:spacing w:before="20" w:after="20" w:line="240" w:lineRule="auto"/>
              <w:ind w:right="-113"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color w:val="000000"/>
                <w:sz w:val="16"/>
                <w:szCs w:val="16"/>
              </w:rPr>
              <w:t xml:space="preserve">Cost awarded against the </w:t>
            </w:r>
            <w:r>
              <w:rPr>
                <w:rFonts w:ascii="Arial" w:hAnsi="Arial" w:cs="Arial"/>
                <w:color w:val="000000"/>
                <w:sz w:val="16"/>
                <w:szCs w:val="16"/>
              </w:rPr>
              <w:t>C</w:t>
            </w:r>
            <w:r w:rsidRPr="008E2A48">
              <w:rPr>
                <w:rFonts w:ascii="Arial" w:hAnsi="Arial" w:cs="Arial"/>
                <w:color w:val="000000"/>
                <w:sz w:val="16"/>
                <w:szCs w:val="16"/>
              </w:rPr>
              <w:t>ommonwealth</w:t>
            </w:r>
          </w:p>
        </w:tc>
        <w:tc>
          <w:tcPr>
            <w:tcW w:w="9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E8046D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7DFE8829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color w:val="000000"/>
                <w:sz w:val="16"/>
                <w:szCs w:val="16"/>
              </w:rPr>
              <w:t xml:space="preserve">3,072 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A8070" w14:textId="0B348D0D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DDFFC3" w14:textId="7A13DE4C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  <w:r w:rsidRPr="00111A54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87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A9A2BA" w14:textId="6743FAC0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Times New Roman" w:hAnsi="Times New Roman"/>
                <w:sz w:val="20"/>
              </w:rPr>
            </w:pPr>
            <w:r w:rsidRPr="00111A54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</w:tr>
      <w:tr w:rsidR="00111A54" w:rsidRPr="008E2A48" w14:paraId="52340F16" w14:textId="77777777" w:rsidTr="00111A54">
        <w:trPr>
          <w:trHeight w:val="450"/>
        </w:trPr>
        <w:tc>
          <w:tcPr>
            <w:tcW w:w="3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710228" w14:textId="77777777" w:rsidR="00111A54" w:rsidRPr="008E2A48" w:rsidRDefault="00111A54" w:rsidP="00111A54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expenses administered on</w:t>
            </w: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behalf of Government</w:t>
            </w:r>
          </w:p>
        </w:tc>
        <w:tc>
          <w:tcPr>
            <w:tcW w:w="93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36C8034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7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447F078C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3,072 </w:t>
            </w:r>
          </w:p>
        </w:tc>
        <w:tc>
          <w:tcPr>
            <w:tcW w:w="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8514DFA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2295653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5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6E17436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</w:tr>
      <w:tr w:rsidR="00111A54" w:rsidRPr="008E2A48" w14:paraId="74919D0C" w14:textId="77777777" w:rsidTr="00111A54">
        <w:trPr>
          <w:trHeight w:val="450"/>
        </w:trPr>
        <w:tc>
          <w:tcPr>
            <w:tcW w:w="328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33A62B" w14:textId="77777777" w:rsidR="00111A54" w:rsidRPr="008E2A48" w:rsidRDefault="00111A54" w:rsidP="00111A54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(cost of)/contribution by</w:t>
            </w: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services</w:t>
            </w:r>
          </w:p>
        </w:tc>
        <w:tc>
          <w:tcPr>
            <w:tcW w:w="9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7A9E09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(3,000)</w:t>
            </w:r>
          </w:p>
        </w:tc>
        <w:tc>
          <w:tcPr>
            <w:tcW w:w="87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350D6DA7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(3,072)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F3463DA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7E79E46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AFDBD8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</w:tr>
      <w:tr w:rsidR="00111A54" w:rsidRPr="008E2A48" w14:paraId="672A7511" w14:textId="77777777" w:rsidTr="00111A54">
        <w:trPr>
          <w:trHeight w:val="225"/>
        </w:trPr>
        <w:tc>
          <w:tcPr>
            <w:tcW w:w="3282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142BC50" w14:textId="77777777" w:rsidR="00111A54" w:rsidRPr="008E2A48" w:rsidRDefault="00111A54" w:rsidP="00111A54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Total comprehensive income/(loss)</w:t>
            </w:r>
          </w:p>
        </w:tc>
        <w:tc>
          <w:tcPr>
            <w:tcW w:w="932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83F12B8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(3,000)</w:t>
            </w:r>
          </w:p>
        </w:tc>
        <w:tc>
          <w:tcPr>
            <w:tcW w:w="871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36BDE586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(3,072)</w:t>
            </w:r>
          </w:p>
        </w:tc>
        <w:tc>
          <w:tcPr>
            <w:tcW w:w="8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2E1B26DD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2AEB650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5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3950695" w14:textId="77777777" w:rsidR="00111A54" w:rsidRPr="008E2A48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8E2A4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</w:tr>
    </w:tbl>
    <w:p w14:paraId="48003892" w14:textId="77777777" w:rsidR="00FE1934" w:rsidRPr="00390846" w:rsidRDefault="00FE1934" w:rsidP="00FE1934">
      <w:pPr>
        <w:pStyle w:val="ChartandTableFootnote"/>
      </w:pPr>
      <w:r w:rsidRPr="00390846">
        <w:t>Prepared on Australian Accounting Standards basis.</w:t>
      </w:r>
    </w:p>
    <w:p w14:paraId="45A00910" w14:textId="77777777" w:rsidR="002379DB" w:rsidRPr="00390846" w:rsidRDefault="002379DB" w:rsidP="00356893">
      <w:pPr>
        <w:pStyle w:val="TableGraphic"/>
      </w:pPr>
    </w:p>
    <w:p w14:paraId="347913E7" w14:textId="7AD006F6" w:rsidR="00F807F1" w:rsidRPr="00390846" w:rsidRDefault="00C41D55" w:rsidP="00356893">
      <w:pPr>
        <w:pStyle w:val="TableHeadingcontinued"/>
        <w:rPr>
          <w:rFonts w:ascii="Times New Roman" w:hAnsi="Times New Roman"/>
        </w:rPr>
      </w:pPr>
      <w:bookmarkStart w:id="35" w:name="OLE_LINK1"/>
      <w:r w:rsidRPr="00390846">
        <w:t>Table</w:t>
      </w:r>
      <w:r w:rsidR="00971CBF" w:rsidRPr="00390846">
        <w:t xml:space="preserve"> 3.</w:t>
      </w:r>
      <w:r w:rsidR="00FE1934" w:rsidRPr="00390846">
        <w:t>8</w:t>
      </w:r>
      <w:r w:rsidRPr="00390846">
        <w:t xml:space="preserve">: Schedule of </w:t>
      </w:r>
      <w:r w:rsidR="0044552A" w:rsidRPr="00390846">
        <w:t xml:space="preserve">budgeted administered cash flows </w:t>
      </w:r>
      <w:r w:rsidRPr="00390846">
        <w:t>(for</w:t>
      </w:r>
      <w:r w:rsidR="0044552A" w:rsidRPr="00390846">
        <w:t> the </w:t>
      </w:r>
      <w:r w:rsidRPr="00390846">
        <w:t>period ended 30 June)</w:t>
      </w:r>
      <w:r w:rsidR="00BD252D" w:rsidRPr="00390846">
        <w:rPr>
          <w:b w:val="0"/>
        </w:rPr>
        <w:t xml:space="preserve"> </w:t>
      </w:r>
      <w:r w:rsidR="00F807F1" w:rsidRPr="00390846">
        <w:fldChar w:fldCharType="begin" w:fldLock="1"/>
      </w:r>
      <w:r w:rsidR="00F807F1" w:rsidRPr="00390846">
        <w:instrText xml:space="preserve"> LINK Excel.Sheet.12 "\\\\fs10\\csg_h$\\MCD\\Publishing\\Graphic Design Services Team\\Projects\\2025\\Budget 2025-26\\04 PBS 2025-26\\1. PBS 2025-26 TEMPLATES + SHELLS\\Supplied\\EM 2025-XX - Attachment B - 2025-26 PBS Excel Tables.xlsx" "Table 3.9!R3C1:R36C6" \a \f 4 \h </w:instrText>
      </w:r>
      <w:r w:rsidR="00D15F79" w:rsidRPr="00390846">
        <w:instrText xml:space="preserve"> \* MERGEFORMAT </w:instrText>
      </w:r>
      <w:r w:rsidR="00F807F1" w:rsidRPr="00390846">
        <w:fldChar w:fldCharType="end"/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3253"/>
        <w:gridCol w:w="934"/>
        <w:gridCol w:w="880"/>
        <w:gridCol w:w="881"/>
        <w:gridCol w:w="881"/>
        <w:gridCol w:w="881"/>
      </w:tblGrid>
      <w:tr w:rsidR="00A75108" w:rsidRPr="00A75108" w14:paraId="789DFA7F" w14:textId="77777777" w:rsidTr="00A75108">
        <w:trPr>
          <w:trHeight w:val="349"/>
        </w:trPr>
        <w:tc>
          <w:tcPr>
            <w:tcW w:w="323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D2CD3C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C184AB7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75108">
              <w:rPr>
                <w:rFonts w:ascii="Arial" w:hAnsi="Arial" w:cs="Arial"/>
                <w:sz w:val="16"/>
                <w:szCs w:val="16"/>
              </w:rPr>
              <w:t>2024–25 Estimated actual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E6E6E6"/>
            <w:vAlign w:val="center"/>
            <w:hideMark/>
          </w:tcPr>
          <w:p w14:paraId="4AF7391A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75108">
              <w:rPr>
                <w:rFonts w:ascii="Arial" w:hAnsi="Arial" w:cs="Arial"/>
                <w:sz w:val="16"/>
                <w:szCs w:val="16"/>
              </w:rPr>
              <w:t>2025–26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Budget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9568692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75108">
              <w:rPr>
                <w:rFonts w:ascii="Arial" w:hAnsi="Arial" w:cs="Arial"/>
                <w:sz w:val="16"/>
                <w:szCs w:val="16"/>
              </w:rPr>
              <w:t>2026–27 Forward estimate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77546A2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75108">
              <w:rPr>
                <w:rFonts w:ascii="Arial" w:hAnsi="Arial" w:cs="Arial"/>
                <w:sz w:val="16"/>
                <w:szCs w:val="16"/>
              </w:rPr>
              <w:t>2027–28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  <w:tc>
          <w:tcPr>
            <w:tcW w:w="87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923AC83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sz w:val="16"/>
                <w:szCs w:val="16"/>
              </w:rPr>
            </w:pPr>
            <w:r w:rsidRPr="00A75108">
              <w:rPr>
                <w:rFonts w:ascii="Arial" w:hAnsi="Arial" w:cs="Arial"/>
                <w:sz w:val="16"/>
                <w:szCs w:val="16"/>
              </w:rPr>
              <w:t>2028–29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Forward estimate</w:t>
            </w:r>
            <w:r w:rsidRPr="00A75108">
              <w:rPr>
                <w:rFonts w:ascii="Arial" w:hAnsi="Arial" w:cs="Arial"/>
                <w:sz w:val="16"/>
                <w:szCs w:val="16"/>
              </w:rPr>
              <w:br/>
              <w:t>$'000</w:t>
            </w:r>
          </w:p>
        </w:tc>
      </w:tr>
      <w:tr w:rsidR="00A75108" w:rsidRPr="00A75108" w14:paraId="2129602F" w14:textId="77777777" w:rsidTr="00A75108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9FE354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OPERATING ACTIVITIES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E0FDD6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976B8EF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A17986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BFD535" w14:textId="77777777" w:rsidR="00A75108" w:rsidRPr="00A75108" w:rsidRDefault="00A75108" w:rsidP="00A75108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632FB1" w14:textId="77777777" w:rsidR="00A75108" w:rsidRPr="00A75108" w:rsidRDefault="00A75108" w:rsidP="00A75108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A75108" w:rsidRPr="00A75108" w14:paraId="0460D5D1" w14:textId="77777777" w:rsidTr="00A75108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5BBE78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used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A6E1CE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2315801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09F2BC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B1DE00" w14:textId="77777777" w:rsidR="00A75108" w:rsidRPr="00A75108" w:rsidRDefault="00A75108" w:rsidP="00A75108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E9FAE" w14:textId="77777777" w:rsidR="00A75108" w:rsidRPr="00A75108" w:rsidRDefault="00A75108" w:rsidP="00A75108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A75108" w:rsidRPr="00A75108" w14:paraId="69A3D305" w14:textId="77777777" w:rsidTr="00A75108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F7734B" w14:textId="77777777" w:rsidR="00A75108" w:rsidRPr="00A75108" w:rsidRDefault="00A75108" w:rsidP="00A75108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Other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EB8D8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18D623F1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3,072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2D967C" w14:textId="4D35FC37" w:rsidR="00A75108" w:rsidRPr="00A75108" w:rsidRDefault="00111A54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30D41" w14:textId="006E0B8C" w:rsidR="00A75108" w:rsidRPr="00111A54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111A54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505A45" w14:textId="6480A945" w:rsidR="00A75108" w:rsidRPr="00111A54" w:rsidRDefault="00111A54" w:rsidP="00111A54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111A54">
              <w:rPr>
                <w:rFonts w:ascii="Arial" w:hAnsi="Arial" w:cs="Arial"/>
                <w:color w:val="000000"/>
                <w:sz w:val="16"/>
                <w:szCs w:val="16"/>
              </w:rPr>
              <w:t>-</w:t>
            </w:r>
          </w:p>
        </w:tc>
      </w:tr>
      <w:tr w:rsidR="00A75108" w:rsidRPr="00A75108" w14:paraId="0A6C2EBE" w14:textId="77777777" w:rsidTr="00A75108">
        <w:trPr>
          <w:trHeight w:val="21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34B5F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Total cash used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46CF4C36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19AB7F26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3,072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3398BE0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31B7FD9F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A899027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</w:tr>
      <w:tr w:rsidR="00A75108" w:rsidRPr="00A75108" w14:paraId="788CF757" w14:textId="77777777" w:rsidTr="00A75108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49EB30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Net cash from/(used by)</w:t>
            </w: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operating activities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5D08B2B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(3,000)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000000" w:fill="E6E6E6"/>
            <w:noWrap/>
            <w:vAlign w:val="center"/>
            <w:hideMark/>
          </w:tcPr>
          <w:p w14:paraId="5C77DED7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(3,072)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7DACBF6F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673903A7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14:paraId="114E011A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</w:tr>
      <w:tr w:rsidR="00A75108" w:rsidRPr="00A75108" w14:paraId="59F45D36" w14:textId="77777777" w:rsidTr="00A75108">
        <w:trPr>
          <w:trHeight w:val="42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F9CDF3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Net increase/(decrease) in cash</w:t>
            </w: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br/>
              <w:t xml:space="preserve">  held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45EBB2B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(3,000)</w:t>
            </w:r>
          </w:p>
        </w:tc>
        <w:tc>
          <w:tcPr>
            <w:tcW w:w="8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513F3CEF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>(3,072)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2116E46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1C037E9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62DE698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i/>
                <w:iCs/>
                <w:color w:val="000000"/>
                <w:sz w:val="16"/>
                <w:szCs w:val="16"/>
              </w:rPr>
              <w:t xml:space="preserve">- </w:t>
            </w:r>
          </w:p>
        </w:tc>
      </w:tr>
      <w:tr w:rsidR="00A75108" w:rsidRPr="00A75108" w14:paraId="2016D3B4" w14:textId="77777777" w:rsidTr="00A75108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A8D489" w14:textId="77777777" w:rsidR="00A75108" w:rsidRPr="00A75108" w:rsidRDefault="00A75108" w:rsidP="00A75108">
            <w:pPr>
              <w:spacing w:before="20" w:after="20" w:line="240" w:lineRule="auto"/>
              <w:ind w:firstLineChars="100" w:firstLine="16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Cash and cash equivalents at</w:t>
            </w: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br/>
              <w:t xml:space="preserve">  beginning of reporting period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EE3F2B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37FA45B0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504E87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E13F7F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4DDCA8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</w:tr>
      <w:tr w:rsidR="00A75108" w:rsidRPr="00A75108" w14:paraId="3DD1AA81" w14:textId="77777777" w:rsidTr="00A75108">
        <w:trPr>
          <w:trHeight w:val="225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C45C7C" w14:textId="77777777" w:rsidR="00A75108" w:rsidRPr="00A75108" w:rsidRDefault="00A75108" w:rsidP="00A75108">
            <w:pPr>
              <w:spacing w:before="20" w:after="20" w:line="240" w:lineRule="auto"/>
              <w:ind w:firstLineChars="200" w:firstLine="32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Cash from Official Public Account for: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1CCE72" w14:textId="77777777" w:rsidR="00A75108" w:rsidRPr="00A75108" w:rsidRDefault="00A75108" w:rsidP="00A75108">
            <w:pPr>
              <w:spacing w:before="20" w:after="20" w:line="240" w:lineRule="auto"/>
              <w:ind w:firstLineChars="200" w:firstLine="320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2A28DD9B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 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CA5640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color w:val="000000"/>
                <w:sz w:val="16"/>
                <w:szCs w:val="16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5BD85F" w14:textId="77777777" w:rsidR="00A75108" w:rsidRPr="00A75108" w:rsidRDefault="00A75108" w:rsidP="00A75108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88AFEB" w14:textId="77777777" w:rsidR="00A75108" w:rsidRPr="00A75108" w:rsidRDefault="00A75108" w:rsidP="00A75108">
            <w:pPr>
              <w:spacing w:before="20" w:after="20" w:line="240" w:lineRule="auto"/>
              <w:rPr>
                <w:rFonts w:ascii="Times New Roman" w:hAnsi="Times New Roman"/>
                <w:sz w:val="20"/>
              </w:rPr>
            </w:pPr>
          </w:p>
        </w:tc>
      </w:tr>
      <w:tr w:rsidR="00A75108" w:rsidRPr="00A75108" w14:paraId="7FF40D5F" w14:textId="77777777" w:rsidTr="00A75108">
        <w:trPr>
          <w:trHeight w:val="74"/>
        </w:trPr>
        <w:tc>
          <w:tcPr>
            <w:tcW w:w="323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86F26D" w14:textId="77777777" w:rsidR="00A75108" w:rsidRPr="00A75108" w:rsidRDefault="00A75108" w:rsidP="00A75108">
            <w:pPr>
              <w:spacing w:before="20" w:after="20" w:line="240" w:lineRule="auto"/>
              <w:ind w:firstLineChars="300" w:firstLine="480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>- Appropriations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0F1816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3,000 </w:t>
            </w:r>
          </w:p>
        </w:tc>
        <w:tc>
          <w:tcPr>
            <w:tcW w:w="876" w:type="dxa"/>
            <w:tcBorders>
              <w:top w:val="nil"/>
              <w:left w:val="nil"/>
              <w:bottom w:val="nil"/>
              <w:right w:val="nil"/>
            </w:tcBorders>
            <w:shd w:val="clear" w:color="000000" w:fill="E6E6E6"/>
            <w:noWrap/>
            <w:vAlign w:val="center"/>
            <w:hideMark/>
          </w:tcPr>
          <w:p w14:paraId="491BF1B0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3,072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13C3C7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4A9724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94FE7E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color w:val="000000"/>
                <w:sz w:val="16"/>
                <w:szCs w:val="16"/>
              </w:rPr>
              <w:t xml:space="preserve">- </w:t>
            </w:r>
          </w:p>
        </w:tc>
      </w:tr>
      <w:tr w:rsidR="00A75108" w:rsidRPr="00A75108" w14:paraId="69F7121E" w14:textId="77777777" w:rsidTr="00A75108">
        <w:trPr>
          <w:trHeight w:val="450"/>
        </w:trPr>
        <w:tc>
          <w:tcPr>
            <w:tcW w:w="323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0B20167" w14:textId="77777777" w:rsidR="00A75108" w:rsidRPr="00A75108" w:rsidRDefault="00A75108" w:rsidP="00A75108">
            <w:pPr>
              <w:spacing w:before="20" w:after="20" w:line="240" w:lineRule="auto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>Cash and cash equivalents at</w:t>
            </w: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br/>
              <w:t xml:space="preserve">  end of reporting period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7ECAB0D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6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000000" w:fill="E6E6E6"/>
            <w:noWrap/>
            <w:vAlign w:val="center"/>
            <w:hideMark/>
          </w:tcPr>
          <w:p w14:paraId="2D6AFB5F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C3A49B1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32A17DD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  <w:tc>
          <w:tcPr>
            <w:tcW w:w="877" w:type="dxa"/>
            <w:tcBorders>
              <w:top w:val="single" w:sz="4" w:space="0" w:color="000000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E27032" w14:textId="77777777" w:rsidR="00A75108" w:rsidRPr="00A75108" w:rsidRDefault="00A75108" w:rsidP="00A75108">
            <w:pPr>
              <w:spacing w:before="20" w:after="20" w:line="240" w:lineRule="auto"/>
              <w:jc w:val="right"/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</w:pPr>
            <w:r w:rsidRPr="00A75108">
              <w:rPr>
                <w:rFonts w:ascii="Arial" w:hAnsi="Arial" w:cs="Arial"/>
                <w:b/>
                <w:bCs/>
                <w:color w:val="000000"/>
                <w:sz w:val="16"/>
                <w:szCs w:val="16"/>
              </w:rPr>
              <w:t xml:space="preserve">- </w:t>
            </w:r>
          </w:p>
        </w:tc>
      </w:tr>
    </w:tbl>
    <w:p w14:paraId="11E994B0" w14:textId="77777777" w:rsidR="00FE1934" w:rsidRPr="00390846" w:rsidRDefault="00FE1934" w:rsidP="00FE1934">
      <w:pPr>
        <w:pStyle w:val="ChartandTableFootnote"/>
      </w:pPr>
      <w:r w:rsidRPr="00390846">
        <w:t>Prepared on Australian Accounting Standards basis.</w:t>
      </w:r>
    </w:p>
    <w:bookmarkEnd w:id="35"/>
    <w:p w14:paraId="7D2BA5DB" w14:textId="77777777" w:rsidR="000C3B86" w:rsidRPr="000C3B86" w:rsidRDefault="000C3B86" w:rsidP="00356893">
      <w:pPr>
        <w:pStyle w:val="TableHeadingcontinued"/>
      </w:pPr>
    </w:p>
    <w:sectPr w:rsidR="000C3B86" w:rsidRPr="000C3B86" w:rsidSect="00655E69">
      <w:headerReference w:type="even" r:id="rId22"/>
      <w:headerReference w:type="first" r:id="rId23"/>
      <w:footerReference w:type="first" r:id="rId24"/>
      <w:pgSz w:w="11906" w:h="16838" w:code="9"/>
      <w:pgMar w:top="2722" w:right="2098" w:bottom="2381" w:left="2098" w:header="1814" w:footer="181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B1BB9" w14:textId="77777777" w:rsidR="008C404B" w:rsidRDefault="008C404B" w:rsidP="00C07DEC">
      <w:r>
        <w:separator/>
      </w:r>
    </w:p>
  </w:endnote>
  <w:endnote w:type="continuationSeparator" w:id="0">
    <w:p w14:paraId="4164E72A" w14:textId="77777777" w:rsidR="008C404B" w:rsidRDefault="008C404B" w:rsidP="00C07DEC">
      <w:r>
        <w:continuationSeparator/>
      </w:r>
    </w:p>
  </w:endnote>
  <w:endnote w:type="continuationNotice" w:id="1">
    <w:p w14:paraId="75BADE1C" w14:textId="77777777" w:rsidR="008C404B" w:rsidRDefault="008C404B">
      <w:pPr>
        <w:spacing w:before="0"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1" w:fontKey="{DF87BD28-9C19-49EF-8CA2-AD1DCC222F51}"/>
    <w:embedBold r:id="rId2" w:fontKey="{3B37AC88-026B-4E9C-9B69-F2220FF1EA77}"/>
    <w:embedItalic r:id="rId3" w:fontKey="{9E8B6A0E-9687-4876-9F2D-63F072294C26}"/>
    <w:embedBoldItalic r:id="rId4" w:fontKey="{3AD077B4-D5DF-4F4B-8A10-8D3607FC1053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5" w:fontKey="{AF6AE25A-9810-4821-BEDF-CA81B58A1A1C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265CEB63-C8C8-4D17-A3BE-FFE508E483DE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7" w:fontKey="{359B98EB-0AC4-4393-BE09-741BC9905ED2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8" w:fontKey="{7DAEF422-7A8E-4EBC-9E67-CD0A7EEC776E}"/>
    <w:embedBold r:id="rId9" w:fontKey="{8A921346-C877-4D92-B8CF-ECE8FBED9337}"/>
    <w:embedItalic r:id="rId10" w:fontKey="{C2B6F542-FBAE-4006-9E5B-79ABA5FAC645}"/>
    <w:embedBoldItalic r:id="rId11" w:fontKey="{D820F2FC-D933-41BD-B6C6-166163E61199}"/>
  </w:font>
  <w:font w:name="9999999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  <w:embedRegular r:id="rId12" w:fontKey="{C9DD6CAA-13C0-48E7-88BD-17BB04804399}"/>
    <w:embedBold r:id="rId13" w:fontKey="{42422124-7609-4544-A3FF-666C69EFC051}"/>
    <w:embedItalic r:id="rId14" w:fontKey="{1C361396-2DD2-44A7-9B15-92B35A39367E}"/>
  </w:font>
  <w:font w:name="Arial Bold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06CE322B-9319-4486-A055-A8C271E0E5C7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6" w:fontKey="{062F66C0-3CAA-4700-A689-568594F993BB}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  <w:embedBold r:id="rId17" w:fontKey="{C00EE774-296D-4781-AE8F-242B5402C843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6582D960-B582-49B3-B0CA-7E661E4DEEA4}"/>
    <w:embedBold r:id="rId19" w:fontKey="{C2FCBA2A-A4BF-424A-AFDA-E0F33F93670D}"/>
    <w:embedItalic r:id="rId20" w:fontKey="{4AC6F391-D3DB-4D17-BB6D-CF458A208B06}"/>
  </w:font>
  <w:font w:name="Swiss 721 BT">
    <w:altName w:val="Swiss 721 B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1" w:fontKey="{DE776A03-8659-47EB-9886-0C30450597FB}"/>
    <w:embedItalic r:id="rId22" w:fontKey="{F7F842FE-AB5B-40F7-A429-B9FCFB5EC624}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6E5A36" w14:textId="6F86BE63" w:rsidR="008C4577" w:rsidRDefault="008C4577" w:rsidP="00356893">
    <w:pPr>
      <w:pStyle w:val="FooterOdd"/>
      <w:rPr>
        <w:noProof/>
      </w:rPr>
    </w:pPr>
    <w:r>
      <w:rPr>
        <w:rStyle w:val="PageNumber"/>
        <w:rFonts w:cs="Times New Roman"/>
      </w:rPr>
      <w:fldChar w:fldCharType="begin"/>
    </w:r>
    <w:r>
      <w:rPr>
        <w:rStyle w:val="PageNumber"/>
        <w:rFonts w:cs="Times New Roman"/>
      </w:rPr>
      <w:instrText xml:space="preserve"> STYLEREF  "Heading 1"  \* MERGEFORMAT </w:instrText>
    </w:r>
    <w:r>
      <w:rPr>
        <w:rStyle w:val="PageNumber"/>
        <w:rFonts w:cs="Times New Roman"/>
      </w:rPr>
      <w:fldChar w:fldCharType="separate"/>
    </w:r>
    <w:r w:rsidR="00CD042F">
      <w:rPr>
        <w:rStyle w:val="PageNumber"/>
        <w:rFonts w:cs="Times New Roman"/>
        <w:noProof/>
      </w:rPr>
      <w:t>Office of the Director of Public Prosecutions</w:t>
    </w:r>
    <w:r>
      <w:rPr>
        <w:rStyle w:val="PageNumber"/>
        <w:rFonts w:cs="Times New Roman"/>
      </w:rPr>
      <w:fldChar w:fldCharType="end"/>
    </w:r>
    <w:r w:rsidRPr="00B628E8">
      <w:rPr>
        <w:rStyle w:val="PageNumber"/>
        <w:rFonts w:cs="Times New Roman"/>
      </w:rPr>
      <w:t xml:space="preserve"> 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>|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  <w:b/>
        <w:bCs/>
      </w:rPr>
      <w:t xml:space="preserve">Page </w:t>
    </w:r>
    <w:r w:rsidRPr="00B628E8">
      <w:rPr>
        <w:b/>
        <w:bCs/>
      </w:rPr>
      <w:fldChar w:fldCharType="begin"/>
    </w:r>
    <w:r w:rsidRPr="00B628E8">
      <w:rPr>
        <w:b/>
        <w:bCs/>
      </w:rPr>
      <w:instrText xml:space="preserve"> PAGE   \* MERGEFORMAT </w:instrText>
    </w:r>
    <w:r w:rsidRPr="00B628E8">
      <w:rPr>
        <w:b/>
        <w:bCs/>
      </w:rPr>
      <w:fldChar w:fldCharType="separate"/>
    </w:r>
    <w:r>
      <w:rPr>
        <w:b/>
        <w:bCs/>
      </w:rPr>
      <w:t>1</w:t>
    </w:r>
    <w:r w:rsidRPr="00B628E8">
      <w:rPr>
        <w:b/>
        <w:bCs/>
        <w:noProof/>
      </w:rP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4E27728" w14:textId="61A39F33" w:rsidR="008C4577" w:rsidRDefault="008C4577" w:rsidP="00356893">
    <w:pPr>
      <w:pStyle w:val="FooterOdd"/>
      <w:rPr>
        <w:noProof/>
      </w:rPr>
    </w:pPr>
    <w:r>
      <w:rPr>
        <w:rStyle w:val="PageNumber"/>
        <w:rFonts w:cs="Times New Roman"/>
      </w:rPr>
      <w:fldChar w:fldCharType="begin"/>
    </w:r>
    <w:r>
      <w:rPr>
        <w:rStyle w:val="PageNumber"/>
        <w:rFonts w:cs="Times New Roman"/>
      </w:rPr>
      <w:instrText xml:space="preserve"> STYLEREF  "Heading 1"  \* MERGEFORMAT </w:instrText>
    </w:r>
    <w:r>
      <w:rPr>
        <w:rStyle w:val="PageNumber"/>
        <w:rFonts w:cs="Times New Roman"/>
      </w:rPr>
      <w:fldChar w:fldCharType="separate"/>
    </w:r>
    <w:r w:rsidR="00CD042F">
      <w:rPr>
        <w:rStyle w:val="PageNumber"/>
        <w:rFonts w:cs="Times New Roman"/>
        <w:noProof/>
      </w:rPr>
      <w:t>Office of the Director of Public Prosecutions</w:t>
    </w:r>
    <w:r>
      <w:rPr>
        <w:rStyle w:val="PageNumber"/>
        <w:rFonts w:cs="Times New Roman"/>
      </w:rPr>
      <w:fldChar w:fldCharType="end"/>
    </w:r>
    <w:r w:rsidRPr="00B628E8">
      <w:rPr>
        <w:rStyle w:val="PageNumber"/>
        <w:rFonts w:cs="Times New Roman"/>
      </w:rPr>
      <w:t xml:space="preserve"> 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>|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  <w:b/>
        <w:bCs/>
      </w:rPr>
      <w:t xml:space="preserve">Page </w:t>
    </w:r>
    <w:r w:rsidRPr="00B628E8">
      <w:rPr>
        <w:b/>
        <w:bCs/>
      </w:rPr>
      <w:fldChar w:fldCharType="begin"/>
    </w:r>
    <w:r w:rsidRPr="00B628E8">
      <w:rPr>
        <w:b/>
        <w:bCs/>
      </w:rPr>
      <w:instrText xml:space="preserve"> PAGE   \* MERGEFORMAT </w:instrText>
    </w:r>
    <w:r w:rsidRPr="00B628E8">
      <w:rPr>
        <w:b/>
        <w:bCs/>
      </w:rPr>
      <w:fldChar w:fldCharType="separate"/>
    </w:r>
    <w:r>
      <w:rPr>
        <w:b/>
        <w:bCs/>
      </w:rPr>
      <w:t>2</w:t>
    </w:r>
    <w:r w:rsidRPr="00B628E8">
      <w:rPr>
        <w:b/>
        <w:bCs/>
        <w:noProof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A1EA9D7" w14:textId="33F1BED3" w:rsidR="00B03653" w:rsidRDefault="00B03653" w:rsidP="002B58A3">
    <w:pPr>
      <w:pStyle w:val="FooterOdd"/>
      <w:pBdr>
        <w:top w:val="none" w:sz="0" w:space="0" w:color="auto"/>
      </w:pBdr>
      <w:jc w:val="left"/>
      <w:rPr>
        <w:noProof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BBF6B" w14:textId="64B2D065" w:rsidR="008F77E7" w:rsidRDefault="008F77E7" w:rsidP="008F77E7">
    <w:pPr>
      <w:pStyle w:val="FooterOdd"/>
      <w:rPr>
        <w:noProof/>
      </w:rPr>
    </w:pPr>
    <w:r>
      <w:rPr>
        <w:rStyle w:val="PageNumber"/>
        <w:rFonts w:cs="Times New Roman"/>
      </w:rPr>
      <w:fldChar w:fldCharType="begin"/>
    </w:r>
    <w:r>
      <w:rPr>
        <w:rStyle w:val="PageNumber"/>
        <w:rFonts w:cs="Times New Roman"/>
      </w:rPr>
      <w:instrText xml:space="preserve"> STYLEREF  "Heading 1"  \* MERGEFORMAT </w:instrText>
    </w:r>
    <w:r>
      <w:rPr>
        <w:rStyle w:val="PageNumber"/>
        <w:rFonts w:cs="Times New Roman"/>
      </w:rPr>
      <w:fldChar w:fldCharType="separate"/>
    </w:r>
    <w:r w:rsidR="00CD042F">
      <w:rPr>
        <w:rStyle w:val="PageNumber"/>
        <w:rFonts w:cs="Times New Roman"/>
        <w:noProof/>
      </w:rPr>
      <w:t>Office of the Director of Public Prosecutions</w:t>
    </w:r>
    <w:r>
      <w:rPr>
        <w:rStyle w:val="PageNumber"/>
        <w:rFonts w:cs="Times New Roman"/>
      </w:rPr>
      <w:fldChar w:fldCharType="end"/>
    </w:r>
    <w:r w:rsidRPr="00B628E8">
      <w:rPr>
        <w:rStyle w:val="PageNumber"/>
        <w:rFonts w:cs="Times New Roman"/>
      </w:rPr>
      <w:t xml:space="preserve"> 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>|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  <w:b/>
        <w:bCs/>
      </w:rPr>
      <w:t xml:space="preserve">Page </w:t>
    </w:r>
    <w:r w:rsidRPr="00B628E8">
      <w:rPr>
        <w:b/>
        <w:bCs/>
      </w:rPr>
      <w:fldChar w:fldCharType="begin"/>
    </w:r>
    <w:r w:rsidRPr="00B628E8">
      <w:rPr>
        <w:b/>
        <w:bCs/>
      </w:rPr>
      <w:instrText xml:space="preserve"> PAGE   \* MERGEFORMAT </w:instrText>
    </w:r>
    <w:r w:rsidRPr="00B628E8">
      <w:rPr>
        <w:b/>
        <w:bCs/>
      </w:rPr>
      <w:fldChar w:fldCharType="separate"/>
    </w:r>
    <w:r>
      <w:rPr>
        <w:b/>
        <w:bCs/>
      </w:rPr>
      <w:t>3</w:t>
    </w:r>
    <w:r w:rsidRPr="00B628E8">
      <w:rPr>
        <w:b/>
        <w:bCs/>
        <w:noProof/>
      </w:rPr>
      <w:fldChar w:fldCharType="end"/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D1BA6F" w14:textId="546BAED0" w:rsidR="00B03653" w:rsidRPr="009E69CA" w:rsidRDefault="009E69CA" w:rsidP="009E69CA">
    <w:pPr>
      <w:pStyle w:val="FooterOdd"/>
    </w:pPr>
    <w:r>
      <w:rPr>
        <w:rStyle w:val="PageNumber"/>
        <w:rFonts w:cs="Times New Roman"/>
      </w:rPr>
      <w:fldChar w:fldCharType="begin"/>
    </w:r>
    <w:r>
      <w:rPr>
        <w:rStyle w:val="PageNumber"/>
        <w:rFonts w:cs="Times New Roman"/>
      </w:rPr>
      <w:instrText xml:space="preserve"> STYLEREF  "Heading 1"  \* MERGEFORMAT </w:instrText>
    </w:r>
    <w:r>
      <w:rPr>
        <w:rStyle w:val="PageNumber"/>
        <w:rFonts w:cs="Times New Roman"/>
      </w:rPr>
      <w:fldChar w:fldCharType="separate"/>
    </w:r>
    <w:r w:rsidR="007B6AE6">
      <w:rPr>
        <w:rStyle w:val="PageNumber"/>
        <w:rFonts w:cs="Times New Roman"/>
        <w:noProof/>
      </w:rPr>
      <w:t>Office of the Director of Public Prosecutions</w:t>
    </w:r>
    <w:r>
      <w:rPr>
        <w:rStyle w:val="PageNumber"/>
        <w:rFonts w:cs="Times New Roman"/>
      </w:rPr>
      <w:fldChar w:fldCharType="end"/>
    </w:r>
    <w:r w:rsidRPr="00B628E8">
      <w:rPr>
        <w:rStyle w:val="PageNumber"/>
        <w:rFonts w:cs="Times New Roman"/>
      </w:rPr>
      <w:t xml:space="preserve"> 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>|</w:t>
    </w:r>
    <w:r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</w:rPr>
      <w:t xml:space="preserve"> </w:t>
    </w:r>
    <w:r w:rsidRPr="00B628E8">
      <w:rPr>
        <w:rStyle w:val="PageNumber"/>
        <w:rFonts w:cs="Times New Roman"/>
        <w:b/>
        <w:bCs/>
      </w:rPr>
      <w:t xml:space="preserve">Page </w:t>
    </w:r>
    <w:r w:rsidRPr="00B628E8">
      <w:rPr>
        <w:rStyle w:val="PageNumber"/>
        <w:rFonts w:cs="Times New Roman"/>
        <w:b/>
        <w:bCs/>
      </w:rPr>
      <w:fldChar w:fldCharType="begin"/>
    </w:r>
    <w:r w:rsidRPr="00B628E8">
      <w:rPr>
        <w:rStyle w:val="PageNumber"/>
        <w:rFonts w:cs="Times New Roman"/>
        <w:b/>
        <w:bCs/>
      </w:rPr>
      <w:instrText xml:space="preserve"> PAGE  \* Arabic </w:instrText>
    </w:r>
    <w:r w:rsidRPr="00B628E8">
      <w:rPr>
        <w:rStyle w:val="PageNumber"/>
        <w:rFonts w:cs="Times New Roman"/>
        <w:b/>
        <w:bCs/>
      </w:rPr>
      <w:fldChar w:fldCharType="separate"/>
    </w:r>
    <w:r w:rsidR="00B05C96">
      <w:rPr>
        <w:rStyle w:val="PageNumber"/>
        <w:rFonts w:cs="Times New Roman"/>
        <w:b/>
        <w:bCs/>
        <w:noProof/>
      </w:rPr>
      <w:t>75</w:t>
    </w:r>
    <w:r w:rsidRPr="00B628E8">
      <w:rPr>
        <w:rStyle w:val="PageNumber"/>
        <w:rFonts w:cs="Times New Roman"/>
        <w:b/>
        <w:bCs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A7CDF2" w14:textId="77777777" w:rsidR="008C404B" w:rsidRDefault="008C404B" w:rsidP="00C07DEC">
      <w:r>
        <w:separator/>
      </w:r>
    </w:p>
  </w:footnote>
  <w:footnote w:type="continuationSeparator" w:id="0">
    <w:p w14:paraId="150094EF" w14:textId="77777777" w:rsidR="008C404B" w:rsidRDefault="008C404B" w:rsidP="00C07DEC">
      <w:r>
        <w:continuationSeparator/>
      </w:r>
    </w:p>
  </w:footnote>
  <w:footnote w:type="continuationNotice" w:id="1">
    <w:p w14:paraId="07BA901F" w14:textId="77777777" w:rsidR="008C404B" w:rsidRDefault="008C404B">
      <w:pPr>
        <w:spacing w:before="0"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779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797"/>
    </w:tblGrid>
    <w:tr w:rsidR="00A94801" w14:paraId="5FF2D76E" w14:textId="77777777" w:rsidTr="00207E69">
      <w:trPr>
        <w:trHeight w:hRule="exact" w:val="340"/>
      </w:trPr>
      <w:tc>
        <w:tcPr>
          <w:tcW w:w="7797" w:type="dxa"/>
        </w:tcPr>
        <w:p w14:paraId="2DDBAFC5" w14:textId="25562797" w:rsidR="00A94801" w:rsidRDefault="03FCCAC7" w:rsidP="00207E69">
          <w:pPr>
            <w:pStyle w:val="HeaderEven"/>
            <w:ind w:left="-113"/>
          </w:pPr>
          <w:r>
            <w:rPr>
              <w:noProof/>
            </w:rPr>
            <w:drawing>
              <wp:inline distT="0" distB="0" distL="0" distR="0" wp14:anchorId="7539997A" wp14:editId="5E29B8F4">
                <wp:extent cx="919093" cy="130897"/>
                <wp:effectExtent l="0" t="0" r="0" b="2540"/>
                <wp:docPr id="1030763957" name="Pictur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/>
                      </pic:nvPicPr>
                      <pic:blipFill>
                        <a:blip r:embed="rId1">
                          <a:extLst>
                            <a:ext uri="{C183D7F6-B498-43B3-948B-1728B52AA6E4}">
                              <adec:decorative xmlns="" xmlns:o="urn:schemas-microsoft-com:office:office" xmlns:v="urn:schemas-microsoft-com:vml" xmlns:w10="urn:schemas-microsoft-com:office:word" xmlns:w="http://schemas.openxmlformats.org/wordprocessingml/2006/main" xmlns:w16sdtfl="http://schemas.microsoft.com/office/word/2024/wordml/sdtformatlock" xmlns:a14="http://schemas.microsoft.com/office/drawing/2010/main" xmlns:adec="http://schemas.microsoft.com/office/drawing/2017/decorative" val="1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9093" cy="1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  <w:r w:rsidR="00A64661">
            <w:t xml:space="preserve">  |  Portfolio Budget Statements</w:t>
          </w:r>
        </w:p>
      </w:tc>
    </w:tr>
  </w:tbl>
  <w:p w14:paraId="45990852" w14:textId="77777777" w:rsidR="00B03653" w:rsidRPr="00F00984" w:rsidRDefault="00B03653" w:rsidP="00A02E16">
    <w:pPr>
      <w:pStyle w:val="HeaderEven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TableGrid"/>
      <w:tblW w:w="7797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7797"/>
    </w:tblGrid>
    <w:tr w:rsidR="00A64661" w14:paraId="35746422" w14:textId="77777777" w:rsidTr="00CA72DA">
      <w:trPr>
        <w:trHeight w:hRule="exact" w:val="340"/>
      </w:trPr>
      <w:tc>
        <w:tcPr>
          <w:tcW w:w="7797" w:type="dxa"/>
        </w:tcPr>
        <w:p w14:paraId="2053446A" w14:textId="77777777" w:rsidR="00A64661" w:rsidRDefault="00A64661" w:rsidP="00577DFB">
          <w:pPr>
            <w:pStyle w:val="HeaderOdd"/>
          </w:pPr>
          <w:r>
            <w:t xml:space="preserve">Portfolio Budget Statements  |  </w:t>
          </w:r>
          <w:r w:rsidR="03FCCAC7">
            <w:rPr>
              <w:noProof/>
            </w:rPr>
            <w:drawing>
              <wp:inline distT="0" distB="0" distL="0" distR="0" wp14:anchorId="4D324D15" wp14:editId="6A000CB4">
                <wp:extent cx="919093" cy="130897"/>
                <wp:effectExtent l="0" t="0" r="0" b="2540"/>
                <wp:docPr id="1507743335" name="Picture 1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8"/>
                        <pic:cNvPicPr/>
                      </pic:nvPicPr>
                      <pic:blipFill>
                        <a:blip r:embed="rId1">
                          <a:extLst>
                            <a:ext uri="{C183D7F6-B498-43B3-948B-1728B52AA6E4}">
                              <adec:decorative xmlns="" xmlns:o="urn:schemas-microsoft-com:office:office" xmlns:v="urn:schemas-microsoft-com:vml" xmlns:w10="urn:schemas-microsoft-com:office:word" xmlns:w="http://schemas.openxmlformats.org/wordprocessingml/2006/main" xmlns:w16sdtfl="http://schemas.microsoft.com/office/word/2024/wordml/sdtformatlock" xmlns:a14="http://schemas.microsoft.com/office/drawing/2010/main" xmlns:adec="http://schemas.microsoft.com/office/drawing/2017/decorative" val="1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919093" cy="130897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w:r>
        </w:p>
      </w:tc>
    </w:tr>
    <w:tr w:rsidR="00A94801" w14:paraId="5E11325E" w14:textId="77777777" w:rsidTr="00207E69">
      <w:trPr>
        <w:trHeight w:hRule="exact" w:val="340"/>
      </w:trPr>
      <w:tc>
        <w:tcPr>
          <w:tcW w:w="7797" w:type="dxa"/>
        </w:tcPr>
        <w:p w14:paraId="00E7F791" w14:textId="3FBF1346" w:rsidR="00A94801" w:rsidRDefault="00A94801" w:rsidP="00577DFB">
          <w:pPr>
            <w:pStyle w:val="HeaderOdd"/>
          </w:pPr>
        </w:p>
      </w:tc>
    </w:tr>
  </w:tbl>
  <w:p w14:paraId="19F60298" w14:textId="77777777" w:rsidR="00B03653" w:rsidRDefault="00B03653" w:rsidP="00A02E16">
    <w:pPr>
      <w:pStyle w:val="HeaderOd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C2136C0" w14:textId="77777777" w:rsidR="008C4577" w:rsidRDefault="008C4577" w:rsidP="008C4577">
    <w:pPr>
      <w:pStyle w:val="HeaderEven"/>
      <w:ind w:left="-113"/>
    </w:pPr>
    <w:r>
      <w:rPr>
        <w:noProof/>
      </w:rPr>
      <w:drawing>
        <wp:inline distT="0" distB="0" distL="0" distR="0" wp14:anchorId="013E4131" wp14:editId="4C579552">
          <wp:extent cx="919093" cy="130897"/>
          <wp:effectExtent l="0" t="0" r="0" b="2540"/>
          <wp:docPr id="1391493594" name="Picture 1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8"/>
                  <pic:cNvPicPr/>
                </pic:nvPicPr>
                <pic:blipFill>
                  <a:blip r:embed="rId1">
                    <a:extLst>
                      <a:ext uri="{C183D7F6-B498-43B3-948B-1728B52AA6E4}">
                        <adec:decorative xmlns="" xmlns:o="urn:schemas-microsoft-com:office:office" xmlns:v="urn:schemas-microsoft-com:vml" xmlns:w10="urn:schemas-microsoft-com:office:word" xmlns:w="http://schemas.openxmlformats.org/wordprocessingml/2006/main" xmlns:w16sdtfl="http://schemas.microsoft.com/office/word/2024/wordml/sdtformatlock" xmlns:a14="http://schemas.microsoft.com/office/drawing/2010/main" xmlns:adec="http://schemas.microsoft.com/office/drawing/2017/decorative" val="1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19093" cy="13089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  <w:r>
      <w:t xml:space="preserve">  |  Portfolio Budget Statements</w:t>
    </w:r>
  </w:p>
  <w:p w14:paraId="73B4E529" w14:textId="162E5D95" w:rsidR="00B03653" w:rsidRDefault="00B03653" w:rsidP="00361259">
    <w:pPr>
      <w:pStyle w:val="HeaderEven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04199C" w14:textId="77777777" w:rsidR="00B03653" w:rsidRPr="00970E65" w:rsidRDefault="00B03653" w:rsidP="004461A4">
    <w:pPr>
      <w:pStyle w:val="HeaderOd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E62084"/>
    <w:multiLevelType w:val="multilevel"/>
    <w:tmpl w:val="0FCC5C3A"/>
    <w:lvl w:ilvl="0">
      <w:start w:val="1"/>
      <w:numFmt w:val="lowerLetter"/>
      <w:lvlText w:val="(%1)"/>
      <w:lvlJc w:val="left"/>
      <w:pPr>
        <w:ind w:left="284" w:hanging="284"/>
      </w:pPr>
      <w:rPr>
        <w:rFonts w:hint="default"/>
        <w:b w:val="0"/>
        <w:i w:val="0"/>
        <w:color w:val="000000"/>
        <w:sz w:val="16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" w15:restartNumberingAfterBreak="0">
    <w:nsid w:val="0EC42909"/>
    <w:multiLevelType w:val="multilevel"/>
    <w:tmpl w:val="9828D65A"/>
    <w:lvl w:ilvl="0">
      <w:start w:val="1"/>
      <w:numFmt w:val="bullet"/>
      <w:lvlRestart w:val="0"/>
      <w:pStyle w:val="Bullet"/>
      <w:lvlText w:val="•"/>
      <w:lvlJc w:val="left"/>
      <w:pPr>
        <w:tabs>
          <w:tab w:val="num" w:pos="283"/>
        </w:tabs>
        <w:ind w:left="283" w:hanging="283"/>
      </w:pPr>
      <w:rPr>
        <w:rFonts w:ascii="Times New Roman" w:hAnsi="Times New Roman" w:cs="Times New Roman"/>
        <w:b w:val="0"/>
        <w:i w:val="0"/>
      </w:rPr>
    </w:lvl>
    <w:lvl w:ilvl="1">
      <w:start w:val="1"/>
      <w:numFmt w:val="bullet"/>
      <w:pStyle w:val="Dash"/>
      <w:lvlText w:val="–"/>
      <w:lvlJc w:val="left"/>
      <w:pPr>
        <w:tabs>
          <w:tab w:val="num" w:pos="567"/>
        </w:tabs>
        <w:ind w:left="567" w:hanging="284"/>
      </w:pPr>
      <w:rPr>
        <w:rFonts w:ascii="Times New Roman" w:hAnsi="Times New Roman" w:cs="Times New Roman"/>
        <w:b w:val="0"/>
        <w:i w:val="0"/>
      </w:rPr>
    </w:lvl>
    <w:lvl w:ilvl="2">
      <w:start w:val="1"/>
      <w:numFmt w:val="bullet"/>
      <w:pStyle w:val="DoubleDot"/>
      <w:lvlText w:val=":"/>
      <w:lvlJc w:val="left"/>
      <w:pPr>
        <w:tabs>
          <w:tab w:val="num" w:pos="850"/>
        </w:tabs>
        <w:ind w:left="850" w:hanging="283"/>
      </w:pPr>
      <w:rPr>
        <w:rFonts w:ascii="Times New Roman" w:hAnsi="Times New Roman" w:cs="Times New Roman"/>
        <w:b w:val="0"/>
        <w:i w:val="0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b w:val="0"/>
        <w:i w:val="0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b w:val="0"/>
        <w:i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b w:val="0"/>
        <w:i w:val="0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b w:val="0"/>
        <w:i w:val="0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b w:val="0"/>
        <w:i w:val="0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b w:val="0"/>
        <w:i w:val="0"/>
      </w:rPr>
    </w:lvl>
  </w:abstractNum>
  <w:abstractNum w:abstractNumId="2" w15:restartNumberingAfterBreak="0">
    <w:nsid w:val="10757CBC"/>
    <w:multiLevelType w:val="singleLevel"/>
    <w:tmpl w:val="103C53FC"/>
    <w:name w:val="Box Bullet List"/>
    <w:lvl w:ilvl="0">
      <w:start w:val="1"/>
      <w:numFmt w:val="bullet"/>
      <w:lvlRestart w:val="0"/>
      <w:pStyle w:val="BoxBullet"/>
      <w:lvlText w:val="•"/>
      <w:lvlJc w:val="left"/>
      <w:pPr>
        <w:tabs>
          <w:tab w:val="num" w:pos="283"/>
        </w:tabs>
        <w:ind w:left="283" w:hanging="283"/>
      </w:pPr>
      <w:rPr>
        <w:rFonts w:ascii="Times New Roman" w:hAnsi="Times New Roman" w:cs="Times New Roman"/>
        <w:b w:val="0"/>
        <w:i w:val="0"/>
      </w:rPr>
    </w:lvl>
  </w:abstractNum>
  <w:abstractNum w:abstractNumId="3" w15:restartNumberingAfterBreak="0">
    <w:nsid w:val="1D185843"/>
    <w:multiLevelType w:val="multilevel"/>
    <w:tmpl w:val="7A080F56"/>
    <w:lvl w:ilvl="0">
      <w:start w:val="1"/>
      <w:numFmt w:val="lowerLetter"/>
      <w:pStyle w:val="ChartandTableFootnoteAlpha"/>
      <w:lvlText w:val="(%1)"/>
      <w:lvlJc w:val="left"/>
      <w:pPr>
        <w:ind w:left="284" w:hanging="284"/>
      </w:pPr>
      <w:rPr>
        <w:rFonts w:hint="default"/>
        <w:b w:val="0"/>
        <w:bCs w:val="0"/>
        <w:i w:val="0"/>
        <w:color w:val="000000"/>
        <w:sz w:val="16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4" w15:restartNumberingAfterBreak="0">
    <w:nsid w:val="20F1BC67"/>
    <w:multiLevelType w:val="hybridMultilevel"/>
    <w:tmpl w:val="FFFFFFFF"/>
    <w:lvl w:ilvl="0" w:tplc="4498E0A6">
      <w:start w:val="1"/>
      <w:numFmt w:val="bullet"/>
      <w:lvlText w:val="•"/>
      <w:lvlJc w:val="left"/>
      <w:pPr>
        <w:ind w:left="720" w:hanging="360"/>
      </w:pPr>
      <w:rPr>
        <w:rFonts w:ascii="Times New Roman" w:hAnsi="Times New Roman" w:hint="default"/>
      </w:rPr>
    </w:lvl>
    <w:lvl w:ilvl="1" w:tplc="DF2C51B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CCA36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58E35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518A7E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7EA94D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A6C851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97059A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F64B1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22771EF"/>
    <w:multiLevelType w:val="hybridMultilevel"/>
    <w:tmpl w:val="39DAE1EC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3DF50DD"/>
    <w:multiLevelType w:val="hybridMultilevel"/>
    <w:tmpl w:val="F8F0D484"/>
    <w:lvl w:ilvl="0" w:tplc="0C090017">
      <w:start w:val="1"/>
      <w:numFmt w:val="lowerLetter"/>
      <w:lvlText w:val="%1)"/>
      <w:lvlJc w:val="left"/>
      <w:pPr>
        <w:ind w:left="1440" w:hanging="360"/>
      </w:pPr>
    </w:lvl>
    <w:lvl w:ilvl="1" w:tplc="0C090019" w:tentative="1">
      <w:start w:val="1"/>
      <w:numFmt w:val="lowerLetter"/>
      <w:lvlText w:val="%2."/>
      <w:lvlJc w:val="left"/>
      <w:pPr>
        <w:ind w:left="2160" w:hanging="360"/>
      </w:pPr>
    </w:lvl>
    <w:lvl w:ilvl="2" w:tplc="0C09001B" w:tentative="1">
      <w:start w:val="1"/>
      <w:numFmt w:val="lowerRoman"/>
      <w:lvlText w:val="%3."/>
      <w:lvlJc w:val="right"/>
      <w:pPr>
        <w:ind w:left="2880" w:hanging="180"/>
      </w:pPr>
    </w:lvl>
    <w:lvl w:ilvl="3" w:tplc="0C09000F" w:tentative="1">
      <w:start w:val="1"/>
      <w:numFmt w:val="decimal"/>
      <w:lvlText w:val="%4."/>
      <w:lvlJc w:val="left"/>
      <w:pPr>
        <w:ind w:left="3600" w:hanging="360"/>
      </w:pPr>
    </w:lvl>
    <w:lvl w:ilvl="4" w:tplc="0C090019" w:tentative="1">
      <w:start w:val="1"/>
      <w:numFmt w:val="lowerLetter"/>
      <w:lvlText w:val="%5."/>
      <w:lvlJc w:val="left"/>
      <w:pPr>
        <w:ind w:left="4320" w:hanging="360"/>
      </w:pPr>
    </w:lvl>
    <w:lvl w:ilvl="5" w:tplc="0C09001B" w:tentative="1">
      <w:start w:val="1"/>
      <w:numFmt w:val="lowerRoman"/>
      <w:lvlText w:val="%6."/>
      <w:lvlJc w:val="right"/>
      <w:pPr>
        <w:ind w:left="5040" w:hanging="180"/>
      </w:pPr>
    </w:lvl>
    <w:lvl w:ilvl="6" w:tplc="0C09000F" w:tentative="1">
      <w:start w:val="1"/>
      <w:numFmt w:val="decimal"/>
      <w:lvlText w:val="%7."/>
      <w:lvlJc w:val="left"/>
      <w:pPr>
        <w:ind w:left="5760" w:hanging="360"/>
      </w:pPr>
    </w:lvl>
    <w:lvl w:ilvl="7" w:tplc="0C090019" w:tentative="1">
      <w:start w:val="1"/>
      <w:numFmt w:val="lowerLetter"/>
      <w:lvlText w:val="%8."/>
      <w:lvlJc w:val="left"/>
      <w:pPr>
        <w:ind w:left="6480" w:hanging="360"/>
      </w:pPr>
    </w:lvl>
    <w:lvl w:ilvl="8" w:tplc="0C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 w15:restartNumberingAfterBreak="0">
    <w:nsid w:val="26D02E4E"/>
    <w:multiLevelType w:val="hybridMultilevel"/>
    <w:tmpl w:val="0526C918"/>
    <w:lvl w:ilvl="0" w:tplc="4A340E24">
      <w:start w:val="1"/>
      <w:numFmt w:val="bullet"/>
      <w:pStyle w:val="ChartandTableFootnoteAlpha-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8" w15:restartNumberingAfterBreak="0">
    <w:nsid w:val="2CEA4481"/>
    <w:multiLevelType w:val="multilevel"/>
    <w:tmpl w:val="0DFE1A6A"/>
    <w:name w:val="TableTextBullet"/>
    <w:lvl w:ilvl="0">
      <w:start w:val="1"/>
      <w:numFmt w:val="bullet"/>
      <w:lvlRestart w:val="0"/>
      <w:pStyle w:val="TableTextBullet"/>
      <w:lvlText w:val="•"/>
      <w:lvlJc w:val="left"/>
      <w:pPr>
        <w:tabs>
          <w:tab w:val="num" w:pos="284"/>
        </w:tabs>
        <w:ind w:left="284" w:hanging="284"/>
      </w:pPr>
      <w:rPr>
        <w:b w:val="0"/>
        <w:i w:val="0"/>
        <w:color w:val="000000"/>
      </w:rPr>
    </w:lvl>
    <w:lvl w:ilvl="1">
      <w:start w:val="1"/>
      <w:numFmt w:val="bullet"/>
      <w:pStyle w:val="TableTextDash"/>
      <w:lvlText w:val="–"/>
      <w:lvlJc w:val="left"/>
      <w:pPr>
        <w:tabs>
          <w:tab w:val="num" w:pos="851"/>
        </w:tabs>
        <w:ind w:left="851" w:hanging="284"/>
      </w:pPr>
      <w:rPr>
        <w:b w:val="0"/>
        <w:i w:val="0"/>
        <w:color w:val="000000"/>
      </w:rPr>
    </w:lvl>
    <w:lvl w:ilvl="2">
      <w:start w:val="1"/>
      <w:numFmt w:val="decimal"/>
      <w:lvlText w:val="%3"/>
      <w:lvlJc w:val="left"/>
      <w:pPr>
        <w:tabs>
          <w:tab w:val="num" w:pos="1701"/>
        </w:tabs>
        <w:ind w:left="1701" w:hanging="567"/>
      </w:pPr>
      <w:rPr>
        <w:b w:val="0"/>
        <w:i w:val="0"/>
        <w:color w:val="000000"/>
      </w:rPr>
    </w:lvl>
    <w:lvl w:ilvl="3">
      <w:start w:val="1"/>
      <w:numFmt w:val="decimal"/>
      <w:lvlText w:val="%4"/>
      <w:lvlJc w:val="left"/>
      <w:pPr>
        <w:tabs>
          <w:tab w:val="num" w:pos="2268"/>
        </w:tabs>
        <w:ind w:left="2268" w:hanging="567"/>
      </w:pPr>
      <w:rPr>
        <w:b w:val="0"/>
        <w:i w:val="0"/>
        <w:color w:val="000000"/>
      </w:rPr>
    </w:lvl>
    <w:lvl w:ilvl="4">
      <w:start w:val="1"/>
      <w:numFmt w:val="decimal"/>
      <w:lvlText w:val="%5"/>
      <w:lvlJc w:val="left"/>
      <w:pPr>
        <w:tabs>
          <w:tab w:val="num" w:pos="2835"/>
        </w:tabs>
        <w:ind w:left="2835" w:hanging="567"/>
      </w:pPr>
      <w:rPr>
        <w:b w:val="0"/>
        <w:i w:val="0"/>
        <w:color w:val="000000"/>
      </w:rPr>
    </w:lvl>
    <w:lvl w:ilvl="5">
      <w:start w:val="1"/>
      <w:numFmt w:val="decimal"/>
      <w:lvlText w:val="%6"/>
      <w:lvlJc w:val="left"/>
      <w:pPr>
        <w:tabs>
          <w:tab w:val="num" w:pos="3402"/>
        </w:tabs>
        <w:ind w:left="3402" w:hanging="567"/>
      </w:pPr>
      <w:rPr>
        <w:b w:val="0"/>
        <w:i w:val="0"/>
        <w:color w:val="000000"/>
      </w:rPr>
    </w:lvl>
    <w:lvl w:ilvl="6">
      <w:start w:val="1"/>
      <w:numFmt w:val="decimal"/>
      <w:lvlText w:val="%7"/>
      <w:lvlJc w:val="left"/>
      <w:pPr>
        <w:tabs>
          <w:tab w:val="num" w:pos="3969"/>
        </w:tabs>
        <w:ind w:left="3969" w:hanging="567"/>
      </w:pPr>
      <w:rPr>
        <w:b w:val="0"/>
        <w:i w:val="0"/>
        <w:color w:val="000000"/>
      </w:rPr>
    </w:lvl>
    <w:lvl w:ilvl="7">
      <w:start w:val="1"/>
      <w:numFmt w:val="decimal"/>
      <w:lvlText w:val="%8"/>
      <w:lvlJc w:val="left"/>
      <w:pPr>
        <w:tabs>
          <w:tab w:val="num" w:pos="4536"/>
        </w:tabs>
        <w:ind w:left="4536" w:hanging="567"/>
      </w:pPr>
      <w:rPr>
        <w:b w:val="0"/>
        <w:i w:val="0"/>
        <w:color w:val="000000"/>
      </w:rPr>
    </w:lvl>
    <w:lvl w:ilvl="8">
      <w:start w:val="1"/>
      <w:numFmt w:val="decimal"/>
      <w:lvlText w:val="%9"/>
      <w:lvlJc w:val="left"/>
      <w:pPr>
        <w:tabs>
          <w:tab w:val="num" w:pos="5103"/>
        </w:tabs>
        <w:ind w:left="5103" w:hanging="567"/>
      </w:pPr>
      <w:rPr>
        <w:b w:val="0"/>
        <w:i w:val="0"/>
        <w:color w:val="000000"/>
      </w:rPr>
    </w:lvl>
  </w:abstractNum>
  <w:abstractNum w:abstractNumId="9" w15:restartNumberingAfterBreak="0">
    <w:nsid w:val="37014FF1"/>
    <w:multiLevelType w:val="hybridMultilevel"/>
    <w:tmpl w:val="2D04700A"/>
    <w:name w:val="ExampleTextBullet2"/>
    <w:lvl w:ilvl="0" w:tplc="944A5BDC">
      <w:start w:val="1"/>
      <w:numFmt w:val="lowerLetter"/>
      <w:lvlText w:val="(%1)"/>
      <w:lvlJc w:val="left"/>
      <w:pPr>
        <w:ind w:left="72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3B57426D"/>
    <w:multiLevelType w:val="hybridMultilevel"/>
    <w:tmpl w:val="389C3E50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FB49B7"/>
    <w:multiLevelType w:val="singleLevel"/>
    <w:tmpl w:val="9EDE5682"/>
    <w:name w:val="Alpha Paragraph"/>
    <w:lvl w:ilvl="0">
      <w:start w:val="1"/>
      <w:numFmt w:val="lowerLetter"/>
      <w:lvlRestart w:val="0"/>
      <w:pStyle w:val="AlphaParagraph"/>
      <w:lvlText w:val="(%1)"/>
      <w:lvlJc w:val="left"/>
      <w:pPr>
        <w:tabs>
          <w:tab w:val="num" w:pos="567"/>
        </w:tabs>
        <w:ind w:left="567" w:hanging="567"/>
      </w:pPr>
      <w:rPr>
        <w:b w:val="0"/>
        <w:i w:val="0"/>
        <w:color w:val="000000"/>
      </w:rPr>
    </w:lvl>
  </w:abstractNum>
  <w:abstractNum w:abstractNumId="12" w15:restartNumberingAfterBreak="0">
    <w:nsid w:val="4D091F09"/>
    <w:multiLevelType w:val="hybridMultilevel"/>
    <w:tmpl w:val="84261FEC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58101827"/>
    <w:multiLevelType w:val="multilevel"/>
    <w:tmpl w:val="072C6E52"/>
    <w:lvl w:ilvl="0">
      <w:start w:val="1"/>
      <w:numFmt w:val="bullet"/>
      <w:lvlRestart w:val="0"/>
      <w:lvlText w:val="•"/>
      <w:lvlJc w:val="left"/>
      <w:pPr>
        <w:tabs>
          <w:tab w:val="num" w:pos="283"/>
        </w:tabs>
        <w:ind w:left="283" w:hanging="283"/>
      </w:pPr>
      <w:rPr>
        <w:rFonts w:ascii="Times New Roman" w:hAnsi="Times New Roman" w:cs="Times New Roman"/>
        <w:b w:val="0"/>
        <w:i w:val="0"/>
        <w:sz w:val="20"/>
      </w:rPr>
    </w:lvl>
    <w:lvl w:ilvl="1">
      <w:start w:val="1"/>
      <w:numFmt w:val="bullet"/>
      <w:pStyle w:val="BoxDash"/>
      <w:lvlText w:val="–"/>
      <w:lvlJc w:val="left"/>
      <w:pPr>
        <w:tabs>
          <w:tab w:val="num" w:pos="567"/>
        </w:tabs>
        <w:ind w:left="567" w:hanging="284"/>
      </w:pPr>
      <w:rPr>
        <w:b w:val="0"/>
        <w:i w:val="0"/>
      </w:rPr>
    </w:lvl>
    <w:lvl w:ilvl="2">
      <w:start w:val="1"/>
      <w:numFmt w:val="bullet"/>
      <w:pStyle w:val="BoxDoubleDot"/>
      <w:lvlText w:val=":"/>
      <w:lvlJc w:val="left"/>
      <w:pPr>
        <w:tabs>
          <w:tab w:val="num" w:pos="850"/>
        </w:tabs>
        <w:ind w:left="850" w:hanging="283"/>
      </w:pPr>
      <w:rPr>
        <w:b w:val="0"/>
        <w:i w:val="0"/>
      </w:rPr>
    </w:lvl>
    <w:lvl w:ilvl="3">
      <w:start w:val="1"/>
      <w:numFmt w:val="decimal"/>
      <w:lvlText w:val="(%4)"/>
      <w:lvlJc w:val="left"/>
      <w:pPr>
        <w:tabs>
          <w:tab w:val="num" w:pos="1440"/>
        </w:tabs>
        <w:ind w:left="1440" w:hanging="360"/>
      </w:pPr>
      <w:rPr>
        <w:b w:val="0"/>
        <w:i w:val="0"/>
      </w:rPr>
    </w:lvl>
    <w:lvl w:ilvl="4">
      <w:start w:val="1"/>
      <w:numFmt w:val="lowerLetter"/>
      <w:lvlText w:val="(%5)"/>
      <w:lvlJc w:val="left"/>
      <w:pPr>
        <w:tabs>
          <w:tab w:val="num" w:pos="1800"/>
        </w:tabs>
        <w:ind w:left="1800" w:hanging="360"/>
      </w:pPr>
      <w:rPr>
        <w:b w:val="0"/>
        <w:i w:val="0"/>
      </w:rPr>
    </w:lvl>
    <w:lvl w:ilvl="5">
      <w:start w:val="1"/>
      <w:numFmt w:val="lowerRoman"/>
      <w:lvlText w:val="(%6)"/>
      <w:lvlJc w:val="left"/>
      <w:pPr>
        <w:tabs>
          <w:tab w:val="num" w:pos="2160"/>
        </w:tabs>
        <w:ind w:left="2160" w:hanging="360"/>
      </w:pPr>
      <w:rPr>
        <w:b w:val="0"/>
        <w:i w:val="0"/>
      </w:rPr>
    </w:lvl>
    <w:lvl w:ilvl="6">
      <w:start w:val="1"/>
      <w:numFmt w:val="decimal"/>
      <w:lvlText w:val="%7."/>
      <w:lvlJc w:val="left"/>
      <w:pPr>
        <w:tabs>
          <w:tab w:val="num" w:pos="2520"/>
        </w:tabs>
        <w:ind w:left="2520" w:hanging="360"/>
      </w:pPr>
      <w:rPr>
        <w:b w:val="0"/>
        <w:i w:val="0"/>
      </w:rPr>
    </w:lvl>
    <w:lvl w:ilvl="7">
      <w:start w:val="1"/>
      <w:numFmt w:val="lowerLetter"/>
      <w:lvlText w:val="%8."/>
      <w:lvlJc w:val="left"/>
      <w:pPr>
        <w:tabs>
          <w:tab w:val="num" w:pos="2880"/>
        </w:tabs>
        <w:ind w:left="2880" w:hanging="360"/>
      </w:pPr>
      <w:rPr>
        <w:b w:val="0"/>
        <w:i w:val="0"/>
      </w:rPr>
    </w:lvl>
    <w:lvl w:ilvl="8">
      <w:start w:val="1"/>
      <w:numFmt w:val="lowerRoman"/>
      <w:lvlText w:val="%9."/>
      <w:lvlJc w:val="left"/>
      <w:pPr>
        <w:tabs>
          <w:tab w:val="num" w:pos="3240"/>
        </w:tabs>
        <w:ind w:left="3240" w:hanging="360"/>
      </w:pPr>
      <w:rPr>
        <w:b w:val="0"/>
        <w:i w:val="0"/>
      </w:rPr>
    </w:lvl>
  </w:abstractNum>
  <w:abstractNum w:abstractNumId="14" w15:restartNumberingAfterBreak="0">
    <w:nsid w:val="68EA3959"/>
    <w:multiLevelType w:val="multilevel"/>
    <w:tmpl w:val="5C2C9654"/>
    <w:name w:val="Chart and Table Footnote Alpha Small"/>
    <w:lvl w:ilvl="0">
      <w:start w:val="1"/>
      <w:numFmt w:val="lowerLetter"/>
      <w:lvlRestart w:val="0"/>
      <w:lvlText w:val="(%1)"/>
      <w:lvlJc w:val="left"/>
      <w:pPr>
        <w:tabs>
          <w:tab w:val="num" w:pos="284"/>
        </w:tabs>
        <w:ind w:left="284" w:hanging="284"/>
      </w:pPr>
      <w:rPr>
        <w:rFonts w:ascii="Arial" w:hAnsi="Arial" w:cs="Arial"/>
        <w:b w:val="0"/>
        <w:i w:val="0"/>
        <w:color w:val="000000"/>
        <w:sz w:val="10"/>
      </w:rPr>
    </w:lvl>
    <w:lvl w:ilvl="1">
      <w:start w:val="1"/>
      <w:numFmt w:val="decimal"/>
      <w:lvlText w:val="%2"/>
      <w:lvlJc w:val="left"/>
      <w:pPr>
        <w:tabs>
          <w:tab w:val="num" w:pos="1134"/>
        </w:tabs>
        <w:ind w:left="1134" w:hanging="567"/>
      </w:pPr>
      <w:rPr>
        <w:b w:val="0"/>
        <w:i w:val="0"/>
        <w:color w:val="000000"/>
      </w:rPr>
    </w:lvl>
    <w:lvl w:ilvl="2">
      <w:start w:val="1"/>
      <w:numFmt w:val="decimal"/>
      <w:lvlText w:val="%3"/>
      <w:lvlJc w:val="left"/>
      <w:pPr>
        <w:tabs>
          <w:tab w:val="num" w:pos="1701"/>
        </w:tabs>
        <w:ind w:left="1701" w:hanging="567"/>
      </w:pPr>
      <w:rPr>
        <w:b w:val="0"/>
        <w:i w:val="0"/>
        <w:color w:val="000000"/>
      </w:rPr>
    </w:lvl>
    <w:lvl w:ilvl="3">
      <w:start w:val="1"/>
      <w:numFmt w:val="decimal"/>
      <w:lvlText w:val="%4"/>
      <w:lvlJc w:val="left"/>
      <w:pPr>
        <w:tabs>
          <w:tab w:val="num" w:pos="2268"/>
        </w:tabs>
        <w:ind w:left="2268" w:hanging="567"/>
      </w:pPr>
      <w:rPr>
        <w:b w:val="0"/>
        <w:i w:val="0"/>
        <w:color w:val="000000"/>
      </w:rPr>
    </w:lvl>
    <w:lvl w:ilvl="4">
      <w:start w:val="1"/>
      <w:numFmt w:val="decimal"/>
      <w:lvlText w:val="%5"/>
      <w:lvlJc w:val="left"/>
      <w:pPr>
        <w:tabs>
          <w:tab w:val="num" w:pos="2835"/>
        </w:tabs>
        <w:ind w:left="2835" w:hanging="567"/>
      </w:pPr>
      <w:rPr>
        <w:b w:val="0"/>
        <w:i w:val="0"/>
        <w:color w:val="000000"/>
      </w:rPr>
    </w:lvl>
    <w:lvl w:ilvl="5">
      <w:start w:val="1"/>
      <w:numFmt w:val="decimal"/>
      <w:lvlText w:val="%6"/>
      <w:lvlJc w:val="left"/>
      <w:pPr>
        <w:tabs>
          <w:tab w:val="num" w:pos="3402"/>
        </w:tabs>
        <w:ind w:left="3402" w:hanging="567"/>
      </w:pPr>
      <w:rPr>
        <w:b w:val="0"/>
        <w:i w:val="0"/>
        <w:color w:val="000000"/>
      </w:rPr>
    </w:lvl>
    <w:lvl w:ilvl="6">
      <w:start w:val="1"/>
      <w:numFmt w:val="decimal"/>
      <w:lvlText w:val="%7"/>
      <w:lvlJc w:val="left"/>
      <w:pPr>
        <w:tabs>
          <w:tab w:val="num" w:pos="3969"/>
        </w:tabs>
        <w:ind w:left="3969" w:hanging="567"/>
      </w:pPr>
      <w:rPr>
        <w:b w:val="0"/>
        <w:i w:val="0"/>
        <w:color w:val="000000"/>
      </w:rPr>
    </w:lvl>
    <w:lvl w:ilvl="7">
      <w:start w:val="1"/>
      <w:numFmt w:val="decimal"/>
      <w:lvlText w:val="%8"/>
      <w:lvlJc w:val="left"/>
      <w:pPr>
        <w:tabs>
          <w:tab w:val="num" w:pos="4536"/>
        </w:tabs>
        <w:ind w:left="4536" w:hanging="567"/>
      </w:pPr>
      <w:rPr>
        <w:b w:val="0"/>
        <w:i w:val="0"/>
        <w:color w:val="000000"/>
      </w:rPr>
    </w:lvl>
    <w:lvl w:ilvl="8">
      <w:start w:val="1"/>
      <w:numFmt w:val="decimal"/>
      <w:lvlText w:val="%9"/>
      <w:lvlJc w:val="left"/>
      <w:pPr>
        <w:tabs>
          <w:tab w:val="num" w:pos="5103"/>
        </w:tabs>
        <w:ind w:left="5103" w:hanging="567"/>
      </w:pPr>
      <w:rPr>
        <w:b w:val="0"/>
        <w:i w:val="0"/>
        <w:color w:val="000000"/>
      </w:rPr>
    </w:lvl>
  </w:abstractNum>
  <w:abstractNum w:abstractNumId="15" w15:restartNumberingAfterBreak="0">
    <w:nsid w:val="69B479DE"/>
    <w:multiLevelType w:val="hybridMultilevel"/>
    <w:tmpl w:val="326E075E"/>
    <w:lvl w:ilvl="0" w:tplc="983E13E8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C090019" w:tentative="1">
      <w:start w:val="1"/>
      <w:numFmt w:val="lowerLetter"/>
      <w:lvlText w:val="%2."/>
      <w:lvlJc w:val="left"/>
      <w:pPr>
        <w:ind w:left="1080" w:hanging="360"/>
      </w:pPr>
    </w:lvl>
    <w:lvl w:ilvl="2" w:tplc="0C09001B" w:tentative="1">
      <w:start w:val="1"/>
      <w:numFmt w:val="lowerRoman"/>
      <w:lvlText w:val="%3."/>
      <w:lvlJc w:val="right"/>
      <w:pPr>
        <w:ind w:left="1800" w:hanging="180"/>
      </w:pPr>
    </w:lvl>
    <w:lvl w:ilvl="3" w:tplc="0C09000F" w:tentative="1">
      <w:start w:val="1"/>
      <w:numFmt w:val="decimal"/>
      <w:lvlText w:val="%4."/>
      <w:lvlJc w:val="left"/>
      <w:pPr>
        <w:ind w:left="2520" w:hanging="360"/>
      </w:pPr>
    </w:lvl>
    <w:lvl w:ilvl="4" w:tplc="0C090019" w:tentative="1">
      <w:start w:val="1"/>
      <w:numFmt w:val="lowerLetter"/>
      <w:lvlText w:val="%5."/>
      <w:lvlJc w:val="left"/>
      <w:pPr>
        <w:ind w:left="3240" w:hanging="360"/>
      </w:pPr>
    </w:lvl>
    <w:lvl w:ilvl="5" w:tplc="0C09001B" w:tentative="1">
      <w:start w:val="1"/>
      <w:numFmt w:val="lowerRoman"/>
      <w:lvlText w:val="%6."/>
      <w:lvlJc w:val="right"/>
      <w:pPr>
        <w:ind w:left="3960" w:hanging="180"/>
      </w:pPr>
    </w:lvl>
    <w:lvl w:ilvl="6" w:tplc="0C09000F" w:tentative="1">
      <w:start w:val="1"/>
      <w:numFmt w:val="decimal"/>
      <w:lvlText w:val="%7."/>
      <w:lvlJc w:val="left"/>
      <w:pPr>
        <w:ind w:left="4680" w:hanging="360"/>
      </w:pPr>
    </w:lvl>
    <w:lvl w:ilvl="7" w:tplc="0C090019" w:tentative="1">
      <w:start w:val="1"/>
      <w:numFmt w:val="lowerLetter"/>
      <w:lvlText w:val="%8."/>
      <w:lvlJc w:val="left"/>
      <w:pPr>
        <w:ind w:left="5400" w:hanging="360"/>
      </w:pPr>
    </w:lvl>
    <w:lvl w:ilvl="8" w:tplc="0C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74CD2EB1"/>
    <w:multiLevelType w:val="multilevel"/>
    <w:tmpl w:val="34589BAE"/>
    <w:name w:val="ExampleTextBullet"/>
    <w:lvl w:ilvl="0">
      <w:start w:val="1"/>
      <w:numFmt w:val="decimal"/>
      <w:lvlRestart w:val="0"/>
      <w:pStyle w:val="Exampletextbullet"/>
      <w:lvlText w:val="•"/>
      <w:lvlJc w:val="left"/>
      <w:pPr>
        <w:tabs>
          <w:tab w:val="num" w:pos="284"/>
        </w:tabs>
        <w:ind w:left="284" w:hanging="284"/>
      </w:pPr>
      <w:rPr>
        <w:rFonts w:ascii="9999999" w:hAnsi="9999999"/>
        <w:b w:val="0"/>
        <w:i w:val="0"/>
        <w:color w:val="FF0000"/>
      </w:rPr>
    </w:lvl>
    <w:lvl w:ilvl="1">
      <w:start w:val="1"/>
      <w:numFmt w:val="decimal"/>
      <w:pStyle w:val="Exampletextdash"/>
      <w:lvlText w:val="–"/>
      <w:lvlJc w:val="left"/>
      <w:pPr>
        <w:tabs>
          <w:tab w:val="num" w:pos="567"/>
        </w:tabs>
        <w:ind w:left="567" w:hanging="283"/>
      </w:pPr>
      <w:rPr>
        <w:rFonts w:ascii="9999999" w:hAnsi="9999999"/>
        <w:b w:val="0"/>
        <w:i w:val="0"/>
        <w:color w:val="FF0000"/>
      </w:rPr>
    </w:lvl>
    <w:lvl w:ilvl="2">
      <w:start w:val="1"/>
      <w:numFmt w:val="decimal"/>
      <w:lvlText w:val="%3"/>
      <w:lvlJc w:val="left"/>
      <w:pPr>
        <w:tabs>
          <w:tab w:val="num" w:pos="1701"/>
        </w:tabs>
        <w:ind w:left="1701" w:hanging="567"/>
      </w:pPr>
      <w:rPr>
        <w:b w:val="0"/>
        <w:i w:val="0"/>
        <w:color w:val="000000"/>
      </w:rPr>
    </w:lvl>
    <w:lvl w:ilvl="3">
      <w:start w:val="1"/>
      <w:numFmt w:val="decimal"/>
      <w:lvlText w:val="%4"/>
      <w:lvlJc w:val="left"/>
      <w:pPr>
        <w:tabs>
          <w:tab w:val="num" w:pos="2268"/>
        </w:tabs>
        <w:ind w:left="2268" w:hanging="567"/>
      </w:pPr>
      <w:rPr>
        <w:b w:val="0"/>
        <w:i w:val="0"/>
        <w:color w:val="000000"/>
      </w:rPr>
    </w:lvl>
    <w:lvl w:ilvl="4">
      <w:start w:val="1"/>
      <w:numFmt w:val="decimal"/>
      <w:lvlText w:val="%5"/>
      <w:lvlJc w:val="left"/>
      <w:pPr>
        <w:tabs>
          <w:tab w:val="num" w:pos="2835"/>
        </w:tabs>
        <w:ind w:left="2835" w:hanging="567"/>
      </w:pPr>
      <w:rPr>
        <w:b w:val="0"/>
        <w:i w:val="0"/>
        <w:color w:val="000000"/>
      </w:rPr>
    </w:lvl>
    <w:lvl w:ilvl="5">
      <w:start w:val="1"/>
      <w:numFmt w:val="decimal"/>
      <w:lvlText w:val="%6"/>
      <w:lvlJc w:val="left"/>
      <w:pPr>
        <w:tabs>
          <w:tab w:val="num" w:pos="3402"/>
        </w:tabs>
        <w:ind w:left="3402" w:hanging="567"/>
      </w:pPr>
      <w:rPr>
        <w:b w:val="0"/>
        <w:i w:val="0"/>
        <w:color w:val="000000"/>
      </w:rPr>
    </w:lvl>
    <w:lvl w:ilvl="6">
      <w:start w:val="1"/>
      <w:numFmt w:val="decimal"/>
      <w:lvlText w:val="%7"/>
      <w:lvlJc w:val="left"/>
      <w:pPr>
        <w:tabs>
          <w:tab w:val="num" w:pos="3969"/>
        </w:tabs>
        <w:ind w:left="3969" w:hanging="567"/>
      </w:pPr>
      <w:rPr>
        <w:b w:val="0"/>
        <w:i w:val="0"/>
        <w:color w:val="000000"/>
      </w:rPr>
    </w:lvl>
    <w:lvl w:ilvl="7">
      <w:start w:val="1"/>
      <w:numFmt w:val="decimal"/>
      <w:lvlText w:val="%8"/>
      <w:lvlJc w:val="left"/>
      <w:pPr>
        <w:tabs>
          <w:tab w:val="num" w:pos="4536"/>
        </w:tabs>
        <w:ind w:left="4536" w:hanging="567"/>
      </w:pPr>
      <w:rPr>
        <w:b w:val="0"/>
        <w:i w:val="0"/>
        <w:color w:val="000000"/>
      </w:rPr>
    </w:lvl>
    <w:lvl w:ilvl="8">
      <w:start w:val="1"/>
      <w:numFmt w:val="decimal"/>
      <w:lvlText w:val="%9"/>
      <w:lvlJc w:val="left"/>
      <w:pPr>
        <w:tabs>
          <w:tab w:val="num" w:pos="5103"/>
        </w:tabs>
        <w:ind w:left="5103" w:hanging="567"/>
      </w:pPr>
      <w:rPr>
        <w:b w:val="0"/>
        <w:i w:val="0"/>
        <w:color w:val="000000"/>
      </w:rPr>
    </w:lvl>
  </w:abstractNum>
  <w:abstractNum w:abstractNumId="17" w15:restartNumberingAfterBreak="0">
    <w:nsid w:val="7A450ED5"/>
    <w:multiLevelType w:val="hybridMultilevel"/>
    <w:tmpl w:val="55E252FC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7B7A52B8"/>
    <w:multiLevelType w:val="hybridMultilevel"/>
    <w:tmpl w:val="242E5DE4"/>
    <w:lvl w:ilvl="0" w:tplc="0C090017">
      <w:start w:val="1"/>
      <w:numFmt w:val="lowerLetter"/>
      <w:lvlText w:val="%1)"/>
      <w:lvlJc w:val="left"/>
      <w:pPr>
        <w:ind w:left="720" w:hanging="360"/>
      </w:pPr>
    </w:lvl>
    <w:lvl w:ilvl="1" w:tplc="0C090019" w:tentative="1">
      <w:start w:val="1"/>
      <w:numFmt w:val="lowerLetter"/>
      <w:lvlText w:val="%2."/>
      <w:lvlJc w:val="left"/>
      <w:pPr>
        <w:ind w:left="1440" w:hanging="360"/>
      </w:pPr>
    </w:lvl>
    <w:lvl w:ilvl="2" w:tplc="0C09001B" w:tentative="1">
      <w:start w:val="1"/>
      <w:numFmt w:val="lowerRoman"/>
      <w:lvlText w:val="%3."/>
      <w:lvlJc w:val="right"/>
      <w:pPr>
        <w:ind w:left="2160" w:hanging="180"/>
      </w:pPr>
    </w:lvl>
    <w:lvl w:ilvl="3" w:tplc="0C09000F" w:tentative="1">
      <w:start w:val="1"/>
      <w:numFmt w:val="decimal"/>
      <w:lvlText w:val="%4."/>
      <w:lvlJc w:val="left"/>
      <w:pPr>
        <w:ind w:left="2880" w:hanging="360"/>
      </w:pPr>
    </w:lvl>
    <w:lvl w:ilvl="4" w:tplc="0C090019" w:tentative="1">
      <w:start w:val="1"/>
      <w:numFmt w:val="lowerLetter"/>
      <w:lvlText w:val="%5."/>
      <w:lvlJc w:val="left"/>
      <w:pPr>
        <w:ind w:left="3600" w:hanging="360"/>
      </w:pPr>
    </w:lvl>
    <w:lvl w:ilvl="5" w:tplc="0C09001B" w:tentative="1">
      <w:start w:val="1"/>
      <w:numFmt w:val="lowerRoman"/>
      <w:lvlText w:val="%6."/>
      <w:lvlJc w:val="right"/>
      <w:pPr>
        <w:ind w:left="4320" w:hanging="180"/>
      </w:pPr>
    </w:lvl>
    <w:lvl w:ilvl="6" w:tplc="0C09000F" w:tentative="1">
      <w:start w:val="1"/>
      <w:numFmt w:val="decimal"/>
      <w:lvlText w:val="%7."/>
      <w:lvlJc w:val="left"/>
      <w:pPr>
        <w:ind w:left="5040" w:hanging="360"/>
      </w:pPr>
    </w:lvl>
    <w:lvl w:ilvl="7" w:tplc="0C090019" w:tentative="1">
      <w:start w:val="1"/>
      <w:numFmt w:val="lowerLetter"/>
      <w:lvlText w:val="%8."/>
      <w:lvlJc w:val="left"/>
      <w:pPr>
        <w:ind w:left="5760" w:hanging="360"/>
      </w:pPr>
    </w:lvl>
    <w:lvl w:ilvl="8" w:tplc="0C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52452600">
    <w:abstractNumId w:val="11"/>
  </w:num>
  <w:num w:numId="2" w16cid:durableId="802116274">
    <w:abstractNumId w:val="1"/>
  </w:num>
  <w:num w:numId="3" w16cid:durableId="1563710967">
    <w:abstractNumId w:val="3"/>
  </w:num>
  <w:num w:numId="4" w16cid:durableId="765032166">
    <w:abstractNumId w:val="16"/>
  </w:num>
  <w:num w:numId="5" w16cid:durableId="441269772">
    <w:abstractNumId w:val="8"/>
  </w:num>
  <w:num w:numId="6" w16cid:durableId="532960867">
    <w:abstractNumId w:val="13"/>
  </w:num>
  <w:num w:numId="7" w16cid:durableId="1589772703">
    <w:abstractNumId w:val="3"/>
  </w:num>
  <w:num w:numId="8" w16cid:durableId="733357287">
    <w:abstractNumId w:val="3"/>
    <w:lvlOverride w:ilvl="0">
      <w:startOverride w:val="1"/>
    </w:lvlOverride>
  </w:num>
  <w:num w:numId="9" w16cid:durableId="1886482151">
    <w:abstractNumId w:val="3"/>
    <w:lvlOverride w:ilvl="0">
      <w:startOverride w:val="1"/>
    </w:lvlOverride>
  </w:num>
  <w:num w:numId="10" w16cid:durableId="1715808242">
    <w:abstractNumId w:val="3"/>
    <w:lvlOverride w:ilvl="0">
      <w:startOverride w:val="1"/>
    </w:lvlOverride>
  </w:num>
  <w:num w:numId="11" w16cid:durableId="1509179804">
    <w:abstractNumId w:val="3"/>
    <w:lvlOverride w:ilvl="0">
      <w:startOverride w:val="1"/>
    </w:lvlOverride>
  </w:num>
  <w:num w:numId="12" w16cid:durableId="2135171339">
    <w:abstractNumId w:val="3"/>
    <w:lvlOverride w:ilvl="0">
      <w:startOverride w:val="1"/>
    </w:lvlOverride>
  </w:num>
  <w:num w:numId="13" w16cid:durableId="1253246239">
    <w:abstractNumId w:val="3"/>
    <w:lvlOverride w:ilvl="0">
      <w:startOverride w:val="1"/>
    </w:lvlOverride>
  </w:num>
  <w:num w:numId="14" w16cid:durableId="487554816">
    <w:abstractNumId w:val="7"/>
  </w:num>
  <w:num w:numId="15" w16cid:durableId="1363944102">
    <w:abstractNumId w:val="3"/>
    <w:lvlOverride w:ilvl="0">
      <w:startOverride w:val="1"/>
    </w:lvlOverride>
  </w:num>
  <w:num w:numId="16" w16cid:durableId="869610444">
    <w:abstractNumId w:val="3"/>
    <w:lvlOverride w:ilvl="0">
      <w:startOverride w:val="1"/>
    </w:lvlOverride>
  </w:num>
  <w:num w:numId="17" w16cid:durableId="1465151804">
    <w:abstractNumId w:val="3"/>
  </w:num>
  <w:num w:numId="18" w16cid:durableId="1865092836">
    <w:abstractNumId w:val="3"/>
    <w:lvlOverride w:ilvl="0">
      <w:startOverride w:val="1"/>
    </w:lvlOverride>
  </w:num>
  <w:num w:numId="19" w16cid:durableId="1433431997">
    <w:abstractNumId w:val="2"/>
  </w:num>
  <w:num w:numId="20" w16cid:durableId="1368022978">
    <w:abstractNumId w:val="3"/>
  </w:num>
  <w:num w:numId="21" w16cid:durableId="1313100310">
    <w:abstractNumId w:val="3"/>
  </w:num>
  <w:num w:numId="22" w16cid:durableId="1380279970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 w16cid:durableId="117459412">
    <w:abstractNumId w:val="4"/>
  </w:num>
  <w:num w:numId="24" w16cid:durableId="1772386377">
    <w:abstractNumId w:val="9"/>
  </w:num>
  <w:num w:numId="25" w16cid:durableId="1484539737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 w16cid:durableId="473067750">
    <w:abstractNumId w:val="3"/>
  </w:num>
  <w:num w:numId="27" w16cid:durableId="2033611012">
    <w:abstractNumId w:val="0"/>
  </w:num>
  <w:num w:numId="28" w16cid:durableId="257325324">
    <w:abstractNumId w:val="0"/>
  </w:num>
  <w:num w:numId="29" w16cid:durableId="2047951133">
    <w:abstractNumId w:val="17"/>
  </w:num>
  <w:num w:numId="30" w16cid:durableId="730346332">
    <w:abstractNumId w:val="0"/>
  </w:num>
  <w:num w:numId="31" w16cid:durableId="35188322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515148524">
    <w:abstractNumId w:val="10"/>
  </w:num>
  <w:num w:numId="33" w16cid:durableId="2114936729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 w16cid:durableId="14470983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1054280903">
    <w:abstractNumId w:val="3"/>
  </w:num>
  <w:num w:numId="36" w16cid:durableId="1387559652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 w16cid:durableId="1588147120">
    <w:abstractNumId w:val="3"/>
  </w:num>
  <w:num w:numId="38" w16cid:durableId="1155802587">
    <w:abstractNumId w:val="3"/>
  </w:num>
  <w:num w:numId="39" w16cid:durableId="1543708475">
    <w:abstractNumId w:val="3"/>
  </w:num>
  <w:num w:numId="40" w16cid:durableId="444547192">
    <w:abstractNumId w:val="18"/>
  </w:num>
  <w:num w:numId="41" w16cid:durableId="1731538947">
    <w:abstractNumId w:val="6"/>
  </w:num>
  <w:num w:numId="42" w16cid:durableId="1484850843">
    <w:abstractNumId w:val="5"/>
  </w:num>
  <w:num w:numId="43" w16cid:durableId="1425767267">
    <w:abstractNumId w:val="12"/>
  </w:num>
  <w:num w:numId="44" w16cid:durableId="961227665">
    <w:abstractNumId w:val="3"/>
  </w:num>
  <w:num w:numId="45" w16cid:durableId="720061605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 w16cid:durableId="651568563">
    <w:abstractNumId w:val="3"/>
  </w:num>
  <w:num w:numId="47" w16cid:durableId="1334915048">
    <w:abstractNumId w:val="3"/>
  </w:num>
  <w:num w:numId="48" w16cid:durableId="301540346">
    <w:abstractNumId w:val="3"/>
  </w:num>
  <w:num w:numId="49" w16cid:durableId="710542201">
    <w:abstractNumId w:val="15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0"/>
  <w:embedTrueTypeFonts/>
  <w:embedSystemFonts/>
  <w:hideSpellingErrors/>
  <w:hideGrammaticalErrors/>
  <w:proofState w:spelling="clean" w:grammar="clean"/>
  <w:attachedTemplate r:id="rId1"/>
  <w:stylePaneFormatFilter w:val="7004" w:allStyles="0" w:customStyles="0" w:latentStyles="1" w:stylesInUse="0" w:headingStyles="0" w:numberingStyles="0" w:tableStyles="0" w:directFormattingOnRuns="0" w:directFormattingOnParagraphs="0" w:directFormattingOnNumbering="0" w:directFormattingOnTables="0" w:clearFormatting="1" w:top3HeadingStyles="1" w:visibleStyles="1" w:alternateStyleNames="0"/>
  <w:defaultTabStop w:val="567"/>
  <w:evenAndOddHeaders/>
  <w:drawingGridHorizontalSpacing w:val="100"/>
  <w:displayHorizontalDrawingGridEvery w:val="2"/>
  <w:noPunctuationKerning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SecurityClassificationInHeader" w:val="True"/>
  </w:docVars>
  <w:rsids>
    <w:rsidRoot w:val="00565A95"/>
    <w:rsid w:val="000000C3"/>
    <w:rsid w:val="00000CE0"/>
    <w:rsid w:val="0000358C"/>
    <w:rsid w:val="00003AC4"/>
    <w:rsid w:val="00003CA0"/>
    <w:rsid w:val="00003FFA"/>
    <w:rsid w:val="00004BFD"/>
    <w:rsid w:val="000053CF"/>
    <w:rsid w:val="00006AE4"/>
    <w:rsid w:val="00006B50"/>
    <w:rsid w:val="0000711B"/>
    <w:rsid w:val="000074BA"/>
    <w:rsid w:val="00007E83"/>
    <w:rsid w:val="000106EB"/>
    <w:rsid w:val="00011C50"/>
    <w:rsid w:val="0001294C"/>
    <w:rsid w:val="00012BB0"/>
    <w:rsid w:val="00013D25"/>
    <w:rsid w:val="00013D54"/>
    <w:rsid w:val="0001438C"/>
    <w:rsid w:val="00014C2D"/>
    <w:rsid w:val="0001615A"/>
    <w:rsid w:val="00016673"/>
    <w:rsid w:val="00016A99"/>
    <w:rsid w:val="00016D95"/>
    <w:rsid w:val="00017619"/>
    <w:rsid w:val="00017840"/>
    <w:rsid w:val="00020073"/>
    <w:rsid w:val="0002037B"/>
    <w:rsid w:val="00020573"/>
    <w:rsid w:val="000216BF"/>
    <w:rsid w:val="00021DA6"/>
    <w:rsid w:val="00021EDB"/>
    <w:rsid w:val="000220B0"/>
    <w:rsid w:val="0002218F"/>
    <w:rsid w:val="00022838"/>
    <w:rsid w:val="00023CED"/>
    <w:rsid w:val="00025CB2"/>
    <w:rsid w:val="0002752E"/>
    <w:rsid w:val="000300D7"/>
    <w:rsid w:val="000304FC"/>
    <w:rsid w:val="00030FDA"/>
    <w:rsid w:val="000323CC"/>
    <w:rsid w:val="0003304D"/>
    <w:rsid w:val="0003384E"/>
    <w:rsid w:val="00033F08"/>
    <w:rsid w:val="00034C41"/>
    <w:rsid w:val="0003503B"/>
    <w:rsid w:val="00036095"/>
    <w:rsid w:val="000364F3"/>
    <w:rsid w:val="000366AE"/>
    <w:rsid w:val="000366F2"/>
    <w:rsid w:val="000369AC"/>
    <w:rsid w:val="0003724F"/>
    <w:rsid w:val="000374C4"/>
    <w:rsid w:val="00037BA1"/>
    <w:rsid w:val="00037F3A"/>
    <w:rsid w:val="000413A8"/>
    <w:rsid w:val="000413D4"/>
    <w:rsid w:val="00041746"/>
    <w:rsid w:val="00042FDD"/>
    <w:rsid w:val="00043785"/>
    <w:rsid w:val="0004484D"/>
    <w:rsid w:val="00044868"/>
    <w:rsid w:val="00044CF1"/>
    <w:rsid w:val="0004509D"/>
    <w:rsid w:val="00045667"/>
    <w:rsid w:val="000476D8"/>
    <w:rsid w:val="0005030D"/>
    <w:rsid w:val="00050A1A"/>
    <w:rsid w:val="00050A97"/>
    <w:rsid w:val="0005138B"/>
    <w:rsid w:val="00051C9E"/>
    <w:rsid w:val="00054A04"/>
    <w:rsid w:val="00054CC3"/>
    <w:rsid w:val="00055221"/>
    <w:rsid w:val="0005600E"/>
    <w:rsid w:val="00056260"/>
    <w:rsid w:val="000565D6"/>
    <w:rsid w:val="00056EFE"/>
    <w:rsid w:val="0005722F"/>
    <w:rsid w:val="0006011A"/>
    <w:rsid w:val="000606CB"/>
    <w:rsid w:val="00060890"/>
    <w:rsid w:val="00060D8E"/>
    <w:rsid w:val="00061415"/>
    <w:rsid w:val="0006199A"/>
    <w:rsid w:val="00061C65"/>
    <w:rsid w:val="00061FD8"/>
    <w:rsid w:val="00062650"/>
    <w:rsid w:val="00063049"/>
    <w:rsid w:val="00063A72"/>
    <w:rsid w:val="00063C44"/>
    <w:rsid w:val="00063CE1"/>
    <w:rsid w:val="000641DA"/>
    <w:rsid w:val="00065053"/>
    <w:rsid w:val="000655E4"/>
    <w:rsid w:val="000656AD"/>
    <w:rsid w:val="00065C71"/>
    <w:rsid w:val="00066BBA"/>
    <w:rsid w:val="000671B7"/>
    <w:rsid w:val="00067B6F"/>
    <w:rsid w:val="00067E1D"/>
    <w:rsid w:val="0007064C"/>
    <w:rsid w:val="000712EE"/>
    <w:rsid w:val="00071794"/>
    <w:rsid w:val="00071B4E"/>
    <w:rsid w:val="000725C0"/>
    <w:rsid w:val="00072B81"/>
    <w:rsid w:val="0007391F"/>
    <w:rsid w:val="0007408A"/>
    <w:rsid w:val="000742A2"/>
    <w:rsid w:val="00074CE6"/>
    <w:rsid w:val="00074E4B"/>
    <w:rsid w:val="00075BE5"/>
    <w:rsid w:val="000768A5"/>
    <w:rsid w:val="00077277"/>
    <w:rsid w:val="0007743A"/>
    <w:rsid w:val="00080069"/>
    <w:rsid w:val="00080125"/>
    <w:rsid w:val="0008056F"/>
    <w:rsid w:val="00080EAA"/>
    <w:rsid w:val="00080F4F"/>
    <w:rsid w:val="00081BD2"/>
    <w:rsid w:val="00081CBC"/>
    <w:rsid w:val="00082159"/>
    <w:rsid w:val="00083487"/>
    <w:rsid w:val="0008449F"/>
    <w:rsid w:val="000846ED"/>
    <w:rsid w:val="0008499D"/>
    <w:rsid w:val="00084C6B"/>
    <w:rsid w:val="00086F7D"/>
    <w:rsid w:val="00087F21"/>
    <w:rsid w:val="0009013D"/>
    <w:rsid w:val="00090516"/>
    <w:rsid w:val="00090681"/>
    <w:rsid w:val="0009068F"/>
    <w:rsid w:val="00092419"/>
    <w:rsid w:val="000924A7"/>
    <w:rsid w:val="00093090"/>
    <w:rsid w:val="00093452"/>
    <w:rsid w:val="00093D79"/>
    <w:rsid w:val="00094B28"/>
    <w:rsid w:val="00094B9A"/>
    <w:rsid w:val="00096568"/>
    <w:rsid w:val="00096DEE"/>
    <w:rsid w:val="00097063"/>
    <w:rsid w:val="00097336"/>
    <w:rsid w:val="000975DA"/>
    <w:rsid w:val="000A0782"/>
    <w:rsid w:val="000A1920"/>
    <w:rsid w:val="000A1A89"/>
    <w:rsid w:val="000A1C91"/>
    <w:rsid w:val="000A24C4"/>
    <w:rsid w:val="000A345B"/>
    <w:rsid w:val="000A372A"/>
    <w:rsid w:val="000A395D"/>
    <w:rsid w:val="000A532C"/>
    <w:rsid w:val="000A554D"/>
    <w:rsid w:val="000A56A5"/>
    <w:rsid w:val="000A5C86"/>
    <w:rsid w:val="000A6897"/>
    <w:rsid w:val="000A6976"/>
    <w:rsid w:val="000A6A85"/>
    <w:rsid w:val="000A6DBE"/>
    <w:rsid w:val="000A7442"/>
    <w:rsid w:val="000A7B26"/>
    <w:rsid w:val="000A7C6F"/>
    <w:rsid w:val="000A7E1F"/>
    <w:rsid w:val="000B1FC4"/>
    <w:rsid w:val="000B21D6"/>
    <w:rsid w:val="000B2404"/>
    <w:rsid w:val="000B28B5"/>
    <w:rsid w:val="000B36D8"/>
    <w:rsid w:val="000B3B7D"/>
    <w:rsid w:val="000B3E5C"/>
    <w:rsid w:val="000B400B"/>
    <w:rsid w:val="000B6E38"/>
    <w:rsid w:val="000C056F"/>
    <w:rsid w:val="000C0B91"/>
    <w:rsid w:val="000C1442"/>
    <w:rsid w:val="000C1928"/>
    <w:rsid w:val="000C192C"/>
    <w:rsid w:val="000C19B3"/>
    <w:rsid w:val="000C19EF"/>
    <w:rsid w:val="000C1E44"/>
    <w:rsid w:val="000C2D7D"/>
    <w:rsid w:val="000C3B86"/>
    <w:rsid w:val="000C3C75"/>
    <w:rsid w:val="000C4A46"/>
    <w:rsid w:val="000C4F54"/>
    <w:rsid w:val="000C55A6"/>
    <w:rsid w:val="000C6A39"/>
    <w:rsid w:val="000C6FB8"/>
    <w:rsid w:val="000D0547"/>
    <w:rsid w:val="000D13E5"/>
    <w:rsid w:val="000D28EB"/>
    <w:rsid w:val="000D308C"/>
    <w:rsid w:val="000D346E"/>
    <w:rsid w:val="000D4262"/>
    <w:rsid w:val="000D43DE"/>
    <w:rsid w:val="000D520C"/>
    <w:rsid w:val="000D55B5"/>
    <w:rsid w:val="000D58A1"/>
    <w:rsid w:val="000D6757"/>
    <w:rsid w:val="000D683C"/>
    <w:rsid w:val="000D7E54"/>
    <w:rsid w:val="000E04C6"/>
    <w:rsid w:val="000E0A5A"/>
    <w:rsid w:val="000E0A85"/>
    <w:rsid w:val="000E194C"/>
    <w:rsid w:val="000E2416"/>
    <w:rsid w:val="000E2F5F"/>
    <w:rsid w:val="000E68E3"/>
    <w:rsid w:val="000E6DDB"/>
    <w:rsid w:val="000E6E76"/>
    <w:rsid w:val="000E72AB"/>
    <w:rsid w:val="000E74A6"/>
    <w:rsid w:val="000F03B1"/>
    <w:rsid w:val="000F08AE"/>
    <w:rsid w:val="000F0DA6"/>
    <w:rsid w:val="000F1AAB"/>
    <w:rsid w:val="000F2D33"/>
    <w:rsid w:val="000F3B69"/>
    <w:rsid w:val="000F43F4"/>
    <w:rsid w:val="000F440E"/>
    <w:rsid w:val="000F4986"/>
    <w:rsid w:val="000F4FFC"/>
    <w:rsid w:val="000F54F4"/>
    <w:rsid w:val="000F6647"/>
    <w:rsid w:val="000F6E4A"/>
    <w:rsid w:val="000F73B7"/>
    <w:rsid w:val="000F76D9"/>
    <w:rsid w:val="000F794F"/>
    <w:rsid w:val="000F7E7B"/>
    <w:rsid w:val="001002F8"/>
    <w:rsid w:val="001009E6"/>
    <w:rsid w:val="00100D97"/>
    <w:rsid w:val="00101A74"/>
    <w:rsid w:val="00101C7E"/>
    <w:rsid w:val="00102654"/>
    <w:rsid w:val="001028CC"/>
    <w:rsid w:val="00102D1D"/>
    <w:rsid w:val="001045F9"/>
    <w:rsid w:val="0010472B"/>
    <w:rsid w:val="00104F95"/>
    <w:rsid w:val="0010657F"/>
    <w:rsid w:val="001078E6"/>
    <w:rsid w:val="00107B0A"/>
    <w:rsid w:val="00111014"/>
    <w:rsid w:val="00111159"/>
    <w:rsid w:val="00111A54"/>
    <w:rsid w:val="0011221E"/>
    <w:rsid w:val="00112D0F"/>
    <w:rsid w:val="001133E0"/>
    <w:rsid w:val="00115DB8"/>
    <w:rsid w:val="00115DE5"/>
    <w:rsid w:val="001163D6"/>
    <w:rsid w:val="00116769"/>
    <w:rsid w:val="00116985"/>
    <w:rsid w:val="00116C76"/>
    <w:rsid w:val="001171FF"/>
    <w:rsid w:val="0011726A"/>
    <w:rsid w:val="0011741C"/>
    <w:rsid w:val="0012022D"/>
    <w:rsid w:val="0012060B"/>
    <w:rsid w:val="00120B5E"/>
    <w:rsid w:val="0012108F"/>
    <w:rsid w:val="00121EB0"/>
    <w:rsid w:val="0012228D"/>
    <w:rsid w:val="001225E0"/>
    <w:rsid w:val="00123218"/>
    <w:rsid w:val="001237BA"/>
    <w:rsid w:val="00123925"/>
    <w:rsid w:val="00125988"/>
    <w:rsid w:val="00126641"/>
    <w:rsid w:val="00126954"/>
    <w:rsid w:val="00127B8E"/>
    <w:rsid w:val="0013120D"/>
    <w:rsid w:val="00131851"/>
    <w:rsid w:val="00132F9E"/>
    <w:rsid w:val="00133014"/>
    <w:rsid w:val="00133AF6"/>
    <w:rsid w:val="00133B4D"/>
    <w:rsid w:val="00133D3A"/>
    <w:rsid w:val="0013409E"/>
    <w:rsid w:val="001352EE"/>
    <w:rsid w:val="00135505"/>
    <w:rsid w:val="001364A7"/>
    <w:rsid w:val="00136827"/>
    <w:rsid w:val="001375D4"/>
    <w:rsid w:val="0014020E"/>
    <w:rsid w:val="00140AA4"/>
    <w:rsid w:val="00141ECD"/>
    <w:rsid w:val="00142BE8"/>
    <w:rsid w:val="00143750"/>
    <w:rsid w:val="00143E88"/>
    <w:rsid w:val="00144F36"/>
    <w:rsid w:val="001455D8"/>
    <w:rsid w:val="0014563E"/>
    <w:rsid w:val="00145EA1"/>
    <w:rsid w:val="001461CF"/>
    <w:rsid w:val="001463A6"/>
    <w:rsid w:val="00146B5E"/>
    <w:rsid w:val="0014790A"/>
    <w:rsid w:val="00150E70"/>
    <w:rsid w:val="00151378"/>
    <w:rsid w:val="00151609"/>
    <w:rsid w:val="00151975"/>
    <w:rsid w:val="00151ABB"/>
    <w:rsid w:val="00151D88"/>
    <w:rsid w:val="00152B2B"/>
    <w:rsid w:val="00154393"/>
    <w:rsid w:val="00154447"/>
    <w:rsid w:val="001549BE"/>
    <w:rsid w:val="00154CDE"/>
    <w:rsid w:val="00154F5B"/>
    <w:rsid w:val="0015505E"/>
    <w:rsid w:val="0016058D"/>
    <w:rsid w:val="00160C23"/>
    <w:rsid w:val="0016143B"/>
    <w:rsid w:val="00161DAC"/>
    <w:rsid w:val="00162B55"/>
    <w:rsid w:val="00162D8B"/>
    <w:rsid w:val="00163101"/>
    <w:rsid w:val="00163627"/>
    <w:rsid w:val="001638E9"/>
    <w:rsid w:val="00163F64"/>
    <w:rsid w:val="00165824"/>
    <w:rsid w:val="001666EA"/>
    <w:rsid w:val="00167406"/>
    <w:rsid w:val="0017111A"/>
    <w:rsid w:val="00171A85"/>
    <w:rsid w:val="00171EA1"/>
    <w:rsid w:val="00173F5C"/>
    <w:rsid w:val="00174186"/>
    <w:rsid w:val="00174565"/>
    <w:rsid w:val="00174EC9"/>
    <w:rsid w:val="00175BB3"/>
    <w:rsid w:val="00176739"/>
    <w:rsid w:val="00177A9A"/>
    <w:rsid w:val="00180737"/>
    <w:rsid w:val="001808A4"/>
    <w:rsid w:val="00180E98"/>
    <w:rsid w:val="00180FF3"/>
    <w:rsid w:val="001815A5"/>
    <w:rsid w:val="00181F30"/>
    <w:rsid w:val="00182740"/>
    <w:rsid w:val="00182E48"/>
    <w:rsid w:val="0018300D"/>
    <w:rsid w:val="00183901"/>
    <w:rsid w:val="00184071"/>
    <w:rsid w:val="00184646"/>
    <w:rsid w:val="001852C5"/>
    <w:rsid w:val="00185A3B"/>
    <w:rsid w:val="00186007"/>
    <w:rsid w:val="00186834"/>
    <w:rsid w:val="00186850"/>
    <w:rsid w:val="001900FF"/>
    <w:rsid w:val="001902CF"/>
    <w:rsid w:val="001904A5"/>
    <w:rsid w:val="00190652"/>
    <w:rsid w:val="001923C8"/>
    <w:rsid w:val="00192A30"/>
    <w:rsid w:val="0019327F"/>
    <w:rsid w:val="001939FF"/>
    <w:rsid w:val="00193A95"/>
    <w:rsid w:val="00194DE8"/>
    <w:rsid w:val="00196D69"/>
    <w:rsid w:val="0019785E"/>
    <w:rsid w:val="00197990"/>
    <w:rsid w:val="001A0106"/>
    <w:rsid w:val="001A02CB"/>
    <w:rsid w:val="001A02FD"/>
    <w:rsid w:val="001A0AF3"/>
    <w:rsid w:val="001A11DB"/>
    <w:rsid w:val="001A1F1F"/>
    <w:rsid w:val="001A261B"/>
    <w:rsid w:val="001A33F4"/>
    <w:rsid w:val="001A3FDA"/>
    <w:rsid w:val="001A50DE"/>
    <w:rsid w:val="001A53AE"/>
    <w:rsid w:val="001A6256"/>
    <w:rsid w:val="001A6F29"/>
    <w:rsid w:val="001A777C"/>
    <w:rsid w:val="001A789B"/>
    <w:rsid w:val="001B03CC"/>
    <w:rsid w:val="001B0A46"/>
    <w:rsid w:val="001B0AFF"/>
    <w:rsid w:val="001B0C75"/>
    <w:rsid w:val="001B1580"/>
    <w:rsid w:val="001B1D9E"/>
    <w:rsid w:val="001B2010"/>
    <w:rsid w:val="001B25D8"/>
    <w:rsid w:val="001B2A29"/>
    <w:rsid w:val="001B2DEE"/>
    <w:rsid w:val="001B368E"/>
    <w:rsid w:val="001B44C2"/>
    <w:rsid w:val="001B4EC1"/>
    <w:rsid w:val="001B4F81"/>
    <w:rsid w:val="001B659F"/>
    <w:rsid w:val="001B7399"/>
    <w:rsid w:val="001B7655"/>
    <w:rsid w:val="001B7BAD"/>
    <w:rsid w:val="001B7F09"/>
    <w:rsid w:val="001C0097"/>
    <w:rsid w:val="001C1166"/>
    <w:rsid w:val="001C261E"/>
    <w:rsid w:val="001C3AC7"/>
    <w:rsid w:val="001C42D0"/>
    <w:rsid w:val="001C6402"/>
    <w:rsid w:val="001C6B05"/>
    <w:rsid w:val="001C7B78"/>
    <w:rsid w:val="001C7FB4"/>
    <w:rsid w:val="001D08AF"/>
    <w:rsid w:val="001D0A25"/>
    <w:rsid w:val="001D0BA6"/>
    <w:rsid w:val="001D1354"/>
    <w:rsid w:val="001D1903"/>
    <w:rsid w:val="001D1942"/>
    <w:rsid w:val="001D1D2A"/>
    <w:rsid w:val="001D1DDB"/>
    <w:rsid w:val="001D3D94"/>
    <w:rsid w:val="001D53EA"/>
    <w:rsid w:val="001D5BD9"/>
    <w:rsid w:val="001D66EF"/>
    <w:rsid w:val="001D6F7C"/>
    <w:rsid w:val="001D73BA"/>
    <w:rsid w:val="001E0156"/>
    <w:rsid w:val="001E10D7"/>
    <w:rsid w:val="001E12A5"/>
    <w:rsid w:val="001E1BF9"/>
    <w:rsid w:val="001E1EDB"/>
    <w:rsid w:val="001E3623"/>
    <w:rsid w:val="001E3A18"/>
    <w:rsid w:val="001E3B06"/>
    <w:rsid w:val="001E7093"/>
    <w:rsid w:val="001E717D"/>
    <w:rsid w:val="001E71F5"/>
    <w:rsid w:val="001E7D86"/>
    <w:rsid w:val="001F3624"/>
    <w:rsid w:val="001F377B"/>
    <w:rsid w:val="001F3CF9"/>
    <w:rsid w:val="001F42F5"/>
    <w:rsid w:val="001F54CB"/>
    <w:rsid w:val="001F55E5"/>
    <w:rsid w:val="001F5CB9"/>
    <w:rsid w:val="001F5FF6"/>
    <w:rsid w:val="001F6397"/>
    <w:rsid w:val="001F79FC"/>
    <w:rsid w:val="002002F7"/>
    <w:rsid w:val="002003A1"/>
    <w:rsid w:val="0020084E"/>
    <w:rsid w:val="00200DC3"/>
    <w:rsid w:val="002011E2"/>
    <w:rsid w:val="00201214"/>
    <w:rsid w:val="00201BB9"/>
    <w:rsid w:val="00201FF5"/>
    <w:rsid w:val="002021A5"/>
    <w:rsid w:val="0020261C"/>
    <w:rsid w:val="00202925"/>
    <w:rsid w:val="00202C70"/>
    <w:rsid w:val="0020323F"/>
    <w:rsid w:val="002050B0"/>
    <w:rsid w:val="0020522A"/>
    <w:rsid w:val="00205D80"/>
    <w:rsid w:val="00206401"/>
    <w:rsid w:val="00207E69"/>
    <w:rsid w:val="00210874"/>
    <w:rsid w:val="0021093F"/>
    <w:rsid w:val="00210F31"/>
    <w:rsid w:val="00211DB5"/>
    <w:rsid w:val="00213143"/>
    <w:rsid w:val="002133CA"/>
    <w:rsid w:val="00213592"/>
    <w:rsid w:val="00213716"/>
    <w:rsid w:val="002146B5"/>
    <w:rsid w:val="00214FA2"/>
    <w:rsid w:val="0021527C"/>
    <w:rsid w:val="00215783"/>
    <w:rsid w:val="0021644B"/>
    <w:rsid w:val="00216489"/>
    <w:rsid w:val="002167C9"/>
    <w:rsid w:val="00216DC9"/>
    <w:rsid w:val="0021711C"/>
    <w:rsid w:val="00217CA0"/>
    <w:rsid w:val="00217E06"/>
    <w:rsid w:val="002202EB"/>
    <w:rsid w:val="00220FCF"/>
    <w:rsid w:val="00221705"/>
    <w:rsid w:val="00221972"/>
    <w:rsid w:val="00221B83"/>
    <w:rsid w:val="0022230C"/>
    <w:rsid w:val="002223C1"/>
    <w:rsid w:val="00222F47"/>
    <w:rsid w:val="002231C8"/>
    <w:rsid w:val="0022331C"/>
    <w:rsid w:val="002237FA"/>
    <w:rsid w:val="00223847"/>
    <w:rsid w:val="00224154"/>
    <w:rsid w:val="00224375"/>
    <w:rsid w:val="00225486"/>
    <w:rsid w:val="00226EA1"/>
    <w:rsid w:val="00230194"/>
    <w:rsid w:val="0023065B"/>
    <w:rsid w:val="002309FA"/>
    <w:rsid w:val="00231557"/>
    <w:rsid w:val="00231923"/>
    <w:rsid w:val="002329C3"/>
    <w:rsid w:val="00232EA3"/>
    <w:rsid w:val="002332AE"/>
    <w:rsid w:val="002333C2"/>
    <w:rsid w:val="002339F7"/>
    <w:rsid w:val="00233F2D"/>
    <w:rsid w:val="00234040"/>
    <w:rsid w:val="0023514A"/>
    <w:rsid w:val="00235969"/>
    <w:rsid w:val="00235D67"/>
    <w:rsid w:val="00236167"/>
    <w:rsid w:val="0023626B"/>
    <w:rsid w:val="002376AD"/>
    <w:rsid w:val="002379DB"/>
    <w:rsid w:val="0024114B"/>
    <w:rsid w:val="00242F07"/>
    <w:rsid w:val="00243020"/>
    <w:rsid w:val="00243F7D"/>
    <w:rsid w:val="0024420B"/>
    <w:rsid w:val="00244D22"/>
    <w:rsid w:val="00245877"/>
    <w:rsid w:val="0024682F"/>
    <w:rsid w:val="00246C09"/>
    <w:rsid w:val="002470E4"/>
    <w:rsid w:val="00247262"/>
    <w:rsid w:val="00250122"/>
    <w:rsid w:val="00251242"/>
    <w:rsid w:val="0025144C"/>
    <w:rsid w:val="00251FDA"/>
    <w:rsid w:val="0025365D"/>
    <w:rsid w:val="0025468D"/>
    <w:rsid w:val="002552F5"/>
    <w:rsid w:val="0025616B"/>
    <w:rsid w:val="002571A5"/>
    <w:rsid w:val="00257285"/>
    <w:rsid w:val="00257FF4"/>
    <w:rsid w:val="002608CE"/>
    <w:rsid w:val="00261660"/>
    <w:rsid w:val="002617D4"/>
    <w:rsid w:val="00261DED"/>
    <w:rsid w:val="0026279C"/>
    <w:rsid w:val="00262CD3"/>
    <w:rsid w:val="002634D6"/>
    <w:rsid w:val="002638D2"/>
    <w:rsid w:val="00263BB1"/>
    <w:rsid w:val="00263DD8"/>
    <w:rsid w:val="00264181"/>
    <w:rsid w:val="00264ADA"/>
    <w:rsid w:val="00264BB2"/>
    <w:rsid w:val="002650C3"/>
    <w:rsid w:val="00265289"/>
    <w:rsid w:val="00265E7C"/>
    <w:rsid w:val="00266433"/>
    <w:rsid w:val="00266613"/>
    <w:rsid w:val="00266A24"/>
    <w:rsid w:val="00266FE9"/>
    <w:rsid w:val="00271ACA"/>
    <w:rsid w:val="00272396"/>
    <w:rsid w:val="00272AFA"/>
    <w:rsid w:val="00273D98"/>
    <w:rsid w:val="00273ED4"/>
    <w:rsid w:val="00274578"/>
    <w:rsid w:val="0027466D"/>
    <w:rsid w:val="0027550F"/>
    <w:rsid w:val="00275A4E"/>
    <w:rsid w:val="00275C43"/>
    <w:rsid w:val="0027614D"/>
    <w:rsid w:val="0027651A"/>
    <w:rsid w:val="00276B58"/>
    <w:rsid w:val="00277074"/>
    <w:rsid w:val="002770A1"/>
    <w:rsid w:val="0028001E"/>
    <w:rsid w:val="00280D53"/>
    <w:rsid w:val="00281CF6"/>
    <w:rsid w:val="002829AA"/>
    <w:rsid w:val="0028359B"/>
    <w:rsid w:val="00283D4F"/>
    <w:rsid w:val="00284441"/>
    <w:rsid w:val="002857BD"/>
    <w:rsid w:val="002857FE"/>
    <w:rsid w:val="00285D5B"/>
    <w:rsid w:val="00287388"/>
    <w:rsid w:val="00287CD2"/>
    <w:rsid w:val="00290933"/>
    <w:rsid w:val="0029106B"/>
    <w:rsid w:val="00291E57"/>
    <w:rsid w:val="00292D6A"/>
    <w:rsid w:val="0029312A"/>
    <w:rsid w:val="0029325C"/>
    <w:rsid w:val="00293B2D"/>
    <w:rsid w:val="00293B46"/>
    <w:rsid w:val="00293E5B"/>
    <w:rsid w:val="00294E5F"/>
    <w:rsid w:val="00296064"/>
    <w:rsid w:val="002960B7"/>
    <w:rsid w:val="00297643"/>
    <w:rsid w:val="00297824"/>
    <w:rsid w:val="00297942"/>
    <w:rsid w:val="002A0F2E"/>
    <w:rsid w:val="002A153F"/>
    <w:rsid w:val="002A1CC2"/>
    <w:rsid w:val="002A32FD"/>
    <w:rsid w:val="002A38C0"/>
    <w:rsid w:val="002A40DC"/>
    <w:rsid w:val="002A4534"/>
    <w:rsid w:val="002A5227"/>
    <w:rsid w:val="002A5329"/>
    <w:rsid w:val="002A538A"/>
    <w:rsid w:val="002A5532"/>
    <w:rsid w:val="002A5C2D"/>
    <w:rsid w:val="002A5CB3"/>
    <w:rsid w:val="002A5E9B"/>
    <w:rsid w:val="002A61E5"/>
    <w:rsid w:val="002A74DD"/>
    <w:rsid w:val="002A7FC8"/>
    <w:rsid w:val="002B08FF"/>
    <w:rsid w:val="002B0A81"/>
    <w:rsid w:val="002B1CE7"/>
    <w:rsid w:val="002B2F0F"/>
    <w:rsid w:val="002B41F9"/>
    <w:rsid w:val="002B569D"/>
    <w:rsid w:val="002B58A3"/>
    <w:rsid w:val="002B595D"/>
    <w:rsid w:val="002B5F6A"/>
    <w:rsid w:val="002B69A1"/>
    <w:rsid w:val="002B73F2"/>
    <w:rsid w:val="002B779E"/>
    <w:rsid w:val="002B7D6F"/>
    <w:rsid w:val="002B7D78"/>
    <w:rsid w:val="002C0552"/>
    <w:rsid w:val="002C0961"/>
    <w:rsid w:val="002C09C9"/>
    <w:rsid w:val="002C1CF7"/>
    <w:rsid w:val="002C1D11"/>
    <w:rsid w:val="002C25D0"/>
    <w:rsid w:val="002C280B"/>
    <w:rsid w:val="002C2DB0"/>
    <w:rsid w:val="002C4D41"/>
    <w:rsid w:val="002C504D"/>
    <w:rsid w:val="002C606D"/>
    <w:rsid w:val="002C6978"/>
    <w:rsid w:val="002C75B0"/>
    <w:rsid w:val="002C7703"/>
    <w:rsid w:val="002C7A63"/>
    <w:rsid w:val="002C7E40"/>
    <w:rsid w:val="002D0153"/>
    <w:rsid w:val="002D0985"/>
    <w:rsid w:val="002D384A"/>
    <w:rsid w:val="002D403A"/>
    <w:rsid w:val="002D4262"/>
    <w:rsid w:val="002D46B7"/>
    <w:rsid w:val="002D5110"/>
    <w:rsid w:val="002D6163"/>
    <w:rsid w:val="002D7256"/>
    <w:rsid w:val="002D7BEE"/>
    <w:rsid w:val="002D7F2E"/>
    <w:rsid w:val="002E082F"/>
    <w:rsid w:val="002E092B"/>
    <w:rsid w:val="002E0D4C"/>
    <w:rsid w:val="002E1064"/>
    <w:rsid w:val="002E196B"/>
    <w:rsid w:val="002E1CCA"/>
    <w:rsid w:val="002E2551"/>
    <w:rsid w:val="002E323F"/>
    <w:rsid w:val="002E3640"/>
    <w:rsid w:val="002E3C91"/>
    <w:rsid w:val="002E4AAE"/>
    <w:rsid w:val="002E5554"/>
    <w:rsid w:val="002E59C4"/>
    <w:rsid w:val="002E5D24"/>
    <w:rsid w:val="002E6DB1"/>
    <w:rsid w:val="002F0B81"/>
    <w:rsid w:val="002F1B12"/>
    <w:rsid w:val="002F2256"/>
    <w:rsid w:val="002F3B41"/>
    <w:rsid w:val="002F530C"/>
    <w:rsid w:val="002F5358"/>
    <w:rsid w:val="002F591B"/>
    <w:rsid w:val="002F5C70"/>
    <w:rsid w:val="002F7B47"/>
    <w:rsid w:val="00300013"/>
    <w:rsid w:val="0030032D"/>
    <w:rsid w:val="003006F8"/>
    <w:rsid w:val="00300BF2"/>
    <w:rsid w:val="003027C1"/>
    <w:rsid w:val="00302A25"/>
    <w:rsid w:val="00302FD3"/>
    <w:rsid w:val="00303037"/>
    <w:rsid w:val="003032BD"/>
    <w:rsid w:val="00303D29"/>
    <w:rsid w:val="00304900"/>
    <w:rsid w:val="00304C13"/>
    <w:rsid w:val="003051CE"/>
    <w:rsid w:val="00305718"/>
    <w:rsid w:val="00305EC5"/>
    <w:rsid w:val="00306107"/>
    <w:rsid w:val="0030705D"/>
    <w:rsid w:val="003077B8"/>
    <w:rsid w:val="0031059C"/>
    <w:rsid w:val="00310E28"/>
    <w:rsid w:val="003111F8"/>
    <w:rsid w:val="00311DE2"/>
    <w:rsid w:val="0031204A"/>
    <w:rsid w:val="0031272B"/>
    <w:rsid w:val="00312A1F"/>
    <w:rsid w:val="00312DE9"/>
    <w:rsid w:val="00313787"/>
    <w:rsid w:val="00315435"/>
    <w:rsid w:val="0031598B"/>
    <w:rsid w:val="00316759"/>
    <w:rsid w:val="00317BF9"/>
    <w:rsid w:val="0032038C"/>
    <w:rsid w:val="00321889"/>
    <w:rsid w:val="00321DDD"/>
    <w:rsid w:val="00321DEB"/>
    <w:rsid w:val="00324660"/>
    <w:rsid w:val="00325C5E"/>
    <w:rsid w:val="0032738E"/>
    <w:rsid w:val="00330D6C"/>
    <w:rsid w:val="00331B40"/>
    <w:rsid w:val="00331C5F"/>
    <w:rsid w:val="003325B9"/>
    <w:rsid w:val="00332E95"/>
    <w:rsid w:val="00333074"/>
    <w:rsid w:val="00333223"/>
    <w:rsid w:val="003338BA"/>
    <w:rsid w:val="00333A43"/>
    <w:rsid w:val="00334F7E"/>
    <w:rsid w:val="003359F4"/>
    <w:rsid w:val="00336451"/>
    <w:rsid w:val="003364C1"/>
    <w:rsid w:val="003367CA"/>
    <w:rsid w:val="003370F5"/>
    <w:rsid w:val="0033789D"/>
    <w:rsid w:val="00337BD2"/>
    <w:rsid w:val="00337F82"/>
    <w:rsid w:val="00340251"/>
    <w:rsid w:val="00340640"/>
    <w:rsid w:val="003406B8"/>
    <w:rsid w:val="00340810"/>
    <w:rsid w:val="00341BEF"/>
    <w:rsid w:val="00341E1B"/>
    <w:rsid w:val="003435D6"/>
    <w:rsid w:val="003436A9"/>
    <w:rsid w:val="003449B8"/>
    <w:rsid w:val="003451D7"/>
    <w:rsid w:val="003454BE"/>
    <w:rsid w:val="003458E0"/>
    <w:rsid w:val="00345CCD"/>
    <w:rsid w:val="003511CE"/>
    <w:rsid w:val="00351909"/>
    <w:rsid w:val="0035208E"/>
    <w:rsid w:val="00352BE0"/>
    <w:rsid w:val="00352C37"/>
    <w:rsid w:val="0035333E"/>
    <w:rsid w:val="003538F0"/>
    <w:rsid w:val="003543B0"/>
    <w:rsid w:val="00356893"/>
    <w:rsid w:val="00356F7B"/>
    <w:rsid w:val="0035791F"/>
    <w:rsid w:val="00357DAE"/>
    <w:rsid w:val="003602A5"/>
    <w:rsid w:val="00361259"/>
    <w:rsid w:val="00361429"/>
    <w:rsid w:val="00362AA7"/>
    <w:rsid w:val="00363B11"/>
    <w:rsid w:val="00365201"/>
    <w:rsid w:val="00365466"/>
    <w:rsid w:val="00365948"/>
    <w:rsid w:val="00365D20"/>
    <w:rsid w:val="00366385"/>
    <w:rsid w:val="003672D6"/>
    <w:rsid w:val="00367D28"/>
    <w:rsid w:val="003705BF"/>
    <w:rsid w:val="00370935"/>
    <w:rsid w:val="00371C1A"/>
    <w:rsid w:val="00372975"/>
    <w:rsid w:val="003744B7"/>
    <w:rsid w:val="00375E52"/>
    <w:rsid w:val="00377C28"/>
    <w:rsid w:val="00380888"/>
    <w:rsid w:val="00380D9F"/>
    <w:rsid w:val="0038172F"/>
    <w:rsid w:val="003819E1"/>
    <w:rsid w:val="00381E2D"/>
    <w:rsid w:val="00382234"/>
    <w:rsid w:val="003829F6"/>
    <w:rsid w:val="003842E5"/>
    <w:rsid w:val="003843A4"/>
    <w:rsid w:val="00385030"/>
    <w:rsid w:val="003852C0"/>
    <w:rsid w:val="003852E9"/>
    <w:rsid w:val="00385A6A"/>
    <w:rsid w:val="0038672F"/>
    <w:rsid w:val="00386BC9"/>
    <w:rsid w:val="00386E54"/>
    <w:rsid w:val="00386F24"/>
    <w:rsid w:val="003876AB"/>
    <w:rsid w:val="00387957"/>
    <w:rsid w:val="00387DF5"/>
    <w:rsid w:val="0039053D"/>
    <w:rsid w:val="00390846"/>
    <w:rsid w:val="00390C8F"/>
    <w:rsid w:val="00390E80"/>
    <w:rsid w:val="003914D6"/>
    <w:rsid w:val="00392B8A"/>
    <w:rsid w:val="00392DD1"/>
    <w:rsid w:val="0039449C"/>
    <w:rsid w:val="00395BA4"/>
    <w:rsid w:val="00395C20"/>
    <w:rsid w:val="00395D29"/>
    <w:rsid w:val="00395E02"/>
    <w:rsid w:val="0039684C"/>
    <w:rsid w:val="003A0290"/>
    <w:rsid w:val="003A25BB"/>
    <w:rsid w:val="003A2EBF"/>
    <w:rsid w:val="003A300D"/>
    <w:rsid w:val="003A325B"/>
    <w:rsid w:val="003A3E7B"/>
    <w:rsid w:val="003A422E"/>
    <w:rsid w:val="003A4566"/>
    <w:rsid w:val="003A5C1B"/>
    <w:rsid w:val="003A6EB0"/>
    <w:rsid w:val="003A7067"/>
    <w:rsid w:val="003B09F6"/>
    <w:rsid w:val="003B0D03"/>
    <w:rsid w:val="003B1F0A"/>
    <w:rsid w:val="003B2C1F"/>
    <w:rsid w:val="003B329D"/>
    <w:rsid w:val="003B3684"/>
    <w:rsid w:val="003B3ECB"/>
    <w:rsid w:val="003B5533"/>
    <w:rsid w:val="003B5A85"/>
    <w:rsid w:val="003B71EE"/>
    <w:rsid w:val="003B7621"/>
    <w:rsid w:val="003B7C64"/>
    <w:rsid w:val="003B7F5F"/>
    <w:rsid w:val="003C0593"/>
    <w:rsid w:val="003C13A6"/>
    <w:rsid w:val="003C1615"/>
    <w:rsid w:val="003C1EB4"/>
    <w:rsid w:val="003C2164"/>
    <w:rsid w:val="003C2623"/>
    <w:rsid w:val="003C2A44"/>
    <w:rsid w:val="003C317B"/>
    <w:rsid w:val="003C4E3A"/>
    <w:rsid w:val="003C579B"/>
    <w:rsid w:val="003C7522"/>
    <w:rsid w:val="003C7865"/>
    <w:rsid w:val="003D0345"/>
    <w:rsid w:val="003D0E1C"/>
    <w:rsid w:val="003D138F"/>
    <w:rsid w:val="003D1E47"/>
    <w:rsid w:val="003D211D"/>
    <w:rsid w:val="003D3662"/>
    <w:rsid w:val="003D3C14"/>
    <w:rsid w:val="003D4188"/>
    <w:rsid w:val="003D4557"/>
    <w:rsid w:val="003D4D68"/>
    <w:rsid w:val="003D543D"/>
    <w:rsid w:val="003D59FD"/>
    <w:rsid w:val="003D7164"/>
    <w:rsid w:val="003D78B7"/>
    <w:rsid w:val="003E10B8"/>
    <w:rsid w:val="003E122D"/>
    <w:rsid w:val="003E13F5"/>
    <w:rsid w:val="003E1978"/>
    <w:rsid w:val="003E2B5E"/>
    <w:rsid w:val="003E3E81"/>
    <w:rsid w:val="003E3FF4"/>
    <w:rsid w:val="003E4B49"/>
    <w:rsid w:val="003E4E15"/>
    <w:rsid w:val="003E5354"/>
    <w:rsid w:val="003E53E8"/>
    <w:rsid w:val="003E5912"/>
    <w:rsid w:val="003E5AE8"/>
    <w:rsid w:val="003E5D7E"/>
    <w:rsid w:val="003E6284"/>
    <w:rsid w:val="003E68C4"/>
    <w:rsid w:val="003E713D"/>
    <w:rsid w:val="003F07EE"/>
    <w:rsid w:val="003F0A2E"/>
    <w:rsid w:val="003F0C87"/>
    <w:rsid w:val="003F0C8B"/>
    <w:rsid w:val="003F1607"/>
    <w:rsid w:val="003F1EFD"/>
    <w:rsid w:val="003F29F2"/>
    <w:rsid w:val="003F3C77"/>
    <w:rsid w:val="003F458D"/>
    <w:rsid w:val="003F47DF"/>
    <w:rsid w:val="003F4F40"/>
    <w:rsid w:val="003F6209"/>
    <w:rsid w:val="003F67FF"/>
    <w:rsid w:val="003F7BF9"/>
    <w:rsid w:val="003F7C66"/>
    <w:rsid w:val="00400A8B"/>
    <w:rsid w:val="00400FA8"/>
    <w:rsid w:val="004010D4"/>
    <w:rsid w:val="00401831"/>
    <w:rsid w:val="0040314A"/>
    <w:rsid w:val="00405128"/>
    <w:rsid w:val="00405DAB"/>
    <w:rsid w:val="00405E90"/>
    <w:rsid w:val="0040629D"/>
    <w:rsid w:val="004065CE"/>
    <w:rsid w:val="00406802"/>
    <w:rsid w:val="0040682D"/>
    <w:rsid w:val="004073F4"/>
    <w:rsid w:val="00407A61"/>
    <w:rsid w:val="004105DD"/>
    <w:rsid w:val="00410DAE"/>
    <w:rsid w:val="00410DCE"/>
    <w:rsid w:val="00412C0B"/>
    <w:rsid w:val="0041404E"/>
    <w:rsid w:val="004141EC"/>
    <w:rsid w:val="0041429D"/>
    <w:rsid w:val="0041464D"/>
    <w:rsid w:val="004147D0"/>
    <w:rsid w:val="00414E1F"/>
    <w:rsid w:val="0041581E"/>
    <w:rsid w:val="00415B62"/>
    <w:rsid w:val="00415F8D"/>
    <w:rsid w:val="004161E5"/>
    <w:rsid w:val="00416E05"/>
    <w:rsid w:val="0041765C"/>
    <w:rsid w:val="00420837"/>
    <w:rsid w:val="0042091B"/>
    <w:rsid w:val="00421EEC"/>
    <w:rsid w:val="00422933"/>
    <w:rsid w:val="00422C59"/>
    <w:rsid w:val="00422CB4"/>
    <w:rsid w:val="00422F4B"/>
    <w:rsid w:val="00423003"/>
    <w:rsid w:val="004248B4"/>
    <w:rsid w:val="00424C66"/>
    <w:rsid w:val="0042526D"/>
    <w:rsid w:val="004254A2"/>
    <w:rsid w:val="00426CAB"/>
    <w:rsid w:val="00426D71"/>
    <w:rsid w:val="00430256"/>
    <w:rsid w:val="004305D1"/>
    <w:rsid w:val="00430A15"/>
    <w:rsid w:val="00430E3D"/>
    <w:rsid w:val="00431754"/>
    <w:rsid w:val="004318AF"/>
    <w:rsid w:val="0043194D"/>
    <w:rsid w:val="00431BF1"/>
    <w:rsid w:val="00433D22"/>
    <w:rsid w:val="00434130"/>
    <w:rsid w:val="004342F8"/>
    <w:rsid w:val="00434A2F"/>
    <w:rsid w:val="00434B63"/>
    <w:rsid w:val="0043795A"/>
    <w:rsid w:val="0044083A"/>
    <w:rsid w:val="004408FA"/>
    <w:rsid w:val="00441119"/>
    <w:rsid w:val="004417C2"/>
    <w:rsid w:val="00441D4E"/>
    <w:rsid w:val="00442DAE"/>
    <w:rsid w:val="00443C48"/>
    <w:rsid w:val="00444245"/>
    <w:rsid w:val="0044552A"/>
    <w:rsid w:val="00445663"/>
    <w:rsid w:val="00445A66"/>
    <w:rsid w:val="00445E66"/>
    <w:rsid w:val="004461A4"/>
    <w:rsid w:val="00446612"/>
    <w:rsid w:val="00446EE2"/>
    <w:rsid w:val="00446F36"/>
    <w:rsid w:val="00447D85"/>
    <w:rsid w:val="00450E44"/>
    <w:rsid w:val="00451501"/>
    <w:rsid w:val="004521E9"/>
    <w:rsid w:val="00452501"/>
    <w:rsid w:val="004525C3"/>
    <w:rsid w:val="004526D7"/>
    <w:rsid w:val="004528D0"/>
    <w:rsid w:val="004537D3"/>
    <w:rsid w:val="00453C86"/>
    <w:rsid w:val="004542D2"/>
    <w:rsid w:val="004544A0"/>
    <w:rsid w:val="00454564"/>
    <w:rsid w:val="00454A67"/>
    <w:rsid w:val="004562E5"/>
    <w:rsid w:val="00457BC3"/>
    <w:rsid w:val="00457D7B"/>
    <w:rsid w:val="0046034D"/>
    <w:rsid w:val="00461801"/>
    <w:rsid w:val="00462272"/>
    <w:rsid w:val="0046390C"/>
    <w:rsid w:val="00463BEB"/>
    <w:rsid w:val="00464569"/>
    <w:rsid w:val="004650FD"/>
    <w:rsid w:val="0046553D"/>
    <w:rsid w:val="00465D4E"/>
    <w:rsid w:val="00466381"/>
    <w:rsid w:val="00466EDC"/>
    <w:rsid w:val="00467393"/>
    <w:rsid w:val="00467B6F"/>
    <w:rsid w:val="00467BDD"/>
    <w:rsid w:val="00470B8C"/>
    <w:rsid w:val="004717F6"/>
    <w:rsid w:val="00471A68"/>
    <w:rsid w:val="00471AC0"/>
    <w:rsid w:val="00472007"/>
    <w:rsid w:val="0047364D"/>
    <w:rsid w:val="0047481E"/>
    <w:rsid w:val="0047481F"/>
    <w:rsid w:val="00474918"/>
    <w:rsid w:val="00475EAF"/>
    <w:rsid w:val="0047681C"/>
    <w:rsid w:val="004802AB"/>
    <w:rsid w:val="004815F8"/>
    <w:rsid w:val="00481E32"/>
    <w:rsid w:val="004831ED"/>
    <w:rsid w:val="004831FC"/>
    <w:rsid w:val="004836A7"/>
    <w:rsid w:val="004847B4"/>
    <w:rsid w:val="00484921"/>
    <w:rsid w:val="00486614"/>
    <w:rsid w:val="00486CFE"/>
    <w:rsid w:val="00486E2C"/>
    <w:rsid w:val="00487288"/>
    <w:rsid w:val="00487955"/>
    <w:rsid w:val="00487DE2"/>
    <w:rsid w:val="00487E11"/>
    <w:rsid w:val="00487FB8"/>
    <w:rsid w:val="004900FE"/>
    <w:rsid w:val="004919D4"/>
    <w:rsid w:val="00491D80"/>
    <w:rsid w:val="00491FB2"/>
    <w:rsid w:val="0049200C"/>
    <w:rsid w:val="0049212C"/>
    <w:rsid w:val="004952C9"/>
    <w:rsid w:val="00495453"/>
    <w:rsid w:val="00495959"/>
    <w:rsid w:val="00495C39"/>
    <w:rsid w:val="004975DB"/>
    <w:rsid w:val="004975EC"/>
    <w:rsid w:val="004A1224"/>
    <w:rsid w:val="004A1ABD"/>
    <w:rsid w:val="004A247B"/>
    <w:rsid w:val="004A28C5"/>
    <w:rsid w:val="004A2AD1"/>
    <w:rsid w:val="004A2F59"/>
    <w:rsid w:val="004A3865"/>
    <w:rsid w:val="004A3933"/>
    <w:rsid w:val="004A5E53"/>
    <w:rsid w:val="004A64B4"/>
    <w:rsid w:val="004A660C"/>
    <w:rsid w:val="004A6B44"/>
    <w:rsid w:val="004A6E0E"/>
    <w:rsid w:val="004A7CB5"/>
    <w:rsid w:val="004A7D43"/>
    <w:rsid w:val="004B00D0"/>
    <w:rsid w:val="004B0527"/>
    <w:rsid w:val="004B0B19"/>
    <w:rsid w:val="004B1403"/>
    <w:rsid w:val="004B1BF2"/>
    <w:rsid w:val="004B1E81"/>
    <w:rsid w:val="004B35F0"/>
    <w:rsid w:val="004B37A7"/>
    <w:rsid w:val="004B4426"/>
    <w:rsid w:val="004B44E1"/>
    <w:rsid w:val="004B4966"/>
    <w:rsid w:val="004B57AF"/>
    <w:rsid w:val="004B5F2A"/>
    <w:rsid w:val="004B74B2"/>
    <w:rsid w:val="004C103D"/>
    <w:rsid w:val="004C1303"/>
    <w:rsid w:val="004C1399"/>
    <w:rsid w:val="004C17D6"/>
    <w:rsid w:val="004C1C09"/>
    <w:rsid w:val="004C2A17"/>
    <w:rsid w:val="004C2B0E"/>
    <w:rsid w:val="004C3BEA"/>
    <w:rsid w:val="004C3E46"/>
    <w:rsid w:val="004C45F5"/>
    <w:rsid w:val="004C4FE2"/>
    <w:rsid w:val="004C502D"/>
    <w:rsid w:val="004C53D4"/>
    <w:rsid w:val="004C5507"/>
    <w:rsid w:val="004D00EB"/>
    <w:rsid w:val="004D0D6B"/>
    <w:rsid w:val="004D1E1A"/>
    <w:rsid w:val="004D1EFF"/>
    <w:rsid w:val="004D22AA"/>
    <w:rsid w:val="004D23A9"/>
    <w:rsid w:val="004D252E"/>
    <w:rsid w:val="004D2683"/>
    <w:rsid w:val="004D2934"/>
    <w:rsid w:val="004D29F5"/>
    <w:rsid w:val="004D2F90"/>
    <w:rsid w:val="004D3F65"/>
    <w:rsid w:val="004D538B"/>
    <w:rsid w:val="004D5A5A"/>
    <w:rsid w:val="004D5ACD"/>
    <w:rsid w:val="004D660D"/>
    <w:rsid w:val="004D6D08"/>
    <w:rsid w:val="004D7804"/>
    <w:rsid w:val="004E0308"/>
    <w:rsid w:val="004E0CA0"/>
    <w:rsid w:val="004E2825"/>
    <w:rsid w:val="004E3079"/>
    <w:rsid w:val="004E3276"/>
    <w:rsid w:val="004E3836"/>
    <w:rsid w:val="004E3B3F"/>
    <w:rsid w:val="004E62E4"/>
    <w:rsid w:val="004E67B6"/>
    <w:rsid w:val="004E7C41"/>
    <w:rsid w:val="004F0E90"/>
    <w:rsid w:val="004F0F5B"/>
    <w:rsid w:val="004F1212"/>
    <w:rsid w:val="004F12CE"/>
    <w:rsid w:val="004F22B8"/>
    <w:rsid w:val="004F2437"/>
    <w:rsid w:val="004F2A84"/>
    <w:rsid w:val="004F38E1"/>
    <w:rsid w:val="004F3C2A"/>
    <w:rsid w:val="004F4624"/>
    <w:rsid w:val="004F4B06"/>
    <w:rsid w:val="004F4C7B"/>
    <w:rsid w:val="004F52BB"/>
    <w:rsid w:val="004F5573"/>
    <w:rsid w:val="004F5D8B"/>
    <w:rsid w:val="004F634F"/>
    <w:rsid w:val="004F7556"/>
    <w:rsid w:val="004F78BF"/>
    <w:rsid w:val="005006F3"/>
    <w:rsid w:val="00500700"/>
    <w:rsid w:val="00500ED4"/>
    <w:rsid w:val="00501231"/>
    <w:rsid w:val="0050141B"/>
    <w:rsid w:val="00501D6F"/>
    <w:rsid w:val="00502638"/>
    <w:rsid w:val="005029BC"/>
    <w:rsid w:val="00502B87"/>
    <w:rsid w:val="0050346A"/>
    <w:rsid w:val="00503FD8"/>
    <w:rsid w:val="00504472"/>
    <w:rsid w:val="005048E3"/>
    <w:rsid w:val="00504A49"/>
    <w:rsid w:val="00505A77"/>
    <w:rsid w:val="00505CB3"/>
    <w:rsid w:val="00505E16"/>
    <w:rsid w:val="005067C7"/>
    <w:rsid w:val="00506EB0"/>
    <w:rsid w:val="0050798C"/>
    <w:rsid w:val="0051112F"/>
    <w:rsid w:val="0051207B"/>
    <w:rsid w:val="005136CD"/>
    <w:rsid w:val="00513CCB"/>
    <w:rsid w:val="00513E01"/>
    <w:rsid w:val="0051401E"/>
    <w:rsid w:val="0051498D"/>
    <w:rsid w:val="00514B1A"/>
    <w:rsid w:val="00514E2B"/>
    <w:rsid w:val="005150C5"/>
    <w:rsid w:val="00515132"/>
    <w:rsid w:val="00515A34"/>
    <w:rsid w:val="005163C4"/>
    <w:rsid w:val="00516415"/>
    <w:rsid w:val="00516D2C"/>
    <w:rsid w:val="00517351"/>
    <w:rsid w:val="005201FC"/>
    <w:rsid w:val="00521860"/>
    <w:rsid w:val="00521D74"/>
    <w:rsid w:val="005222CC"/>
    <w:rsid w:val="00522622"/>
    <w:rsid w:val="00522EF5"/>
    <w:rsid w:val="00523B5E"/>
    <w:rsid w:val="00524275"/>
    <w:rsid w:val="005250EE"/>
    <w:rsid w:val="00525AB1"/>
    <w:rsid w:val="005260F2"/>
    <w:rsid w:val="00526333"/>
    <w:rsid w:val="00526B01"/>
    <w:rsid w:val="00526C61"/>
    <w:rsid w:val="00527492"/>
    <w:rsid w:val="005277F5"/>
    <w:rsid w:val="00527920"/>
    <w:rsid w:val="00530642"/>
    <w:rsid w:val="0053093B"/>
    <w:rsid w:val="005310C1"/>
    <w:rsid w:val="00531934"/>
    <w:rsid w:val="005328A9"/>
    <w:rsid w:val="00532994"/>
    <w:rsid w:val="005329BE"/>
    <w:rsid w:val="00532F42"/>
    <w:rsid w:val="00533515"/>
    <w:rsid w:val="00534105"/>
    <w:rsid w:val="005342DE"/>
    <w:rsid w:val="00534AC0"/>
    <w:rsid w:val="00535557"/>
    <w:rsid w:val="0053595A"/>
    <w:rsid w:val="0053606A"/>
    <w:rsid w:val="005369C0"/>
    <w:rsid w:val="00536B92"/>
    <w:rsid w:val="00540811"/>
    <w:rsid w:val="00540B25"/>
    <w:rsid w:val="00540D82"/>
    <w:rsid w:val="00541254"/>
    <w:rsid w:val="005421CC"/>
    <w:rsid w:val="00542BA5"/>
    <w:rsid w:val="00542F3C"/>
    <w:rsid w:val="00544841"/>
    <w:rsid w:val="00544869"/>
    <w:rsid w:val="00544B6B"/>
    <w:rsid w:val="00544FFF"/>
    <w:rsid w:val="005451D6"/>
    <w:rsid w:val="00547058"/>
    <w:rsid w:val="005472C0"/>
    <w:rsid w:val="00547CD4"/>
    <w:rsid w:val="00547E34"/>
    <w:rsid w:val="00547EB8"/>
    <w:rsid w:val="0055031E"/>
    <w:rsid w:val="0055065D"/>
    <w:rsid w:val="00552FC2"/>
    <w:rsid w:val="00553DA2"/>
    <w:rsid w:val="005543FB"/>
    <w:rsid w:val="00555623"/>
    <w:rsid w:val="005562DC"/>
    <w:rsid w:val="00556725"/>
    <w:rsid w:val="00557A85"/>
    <w:rsid w:val="005606B5"/>
    <w:rsid w:val="00560E2D"/>
    <w:rsid w:val="00561498"/>
    <w:rsid w:val="00562BAD"/>
    <w:rsid w:val="00562D1D"/>
    <w:rsid w:val="0056365E"/>
    <w:rsid w:val="00564891"/>
    <w:rsid w:val="00565A95"/>
    <w:rsid w:val="00565C77"/>
    <w:rsid w:val="00566181"/>
    <w:rsid w:val="005663E8"/>
    <w:rsid w:val="00566B94"/>
    <w:rsid w:val="00566D6F"/>
    <w:rsid w:val="00567843"/>
    <w:rsid w:val="005703CD"/>
    <w:rsid w:val="005708BD"/>
    <w:rsid w:val="0057317E"/>
    <w:rsid w:val="005731D3"/>
    <w:rsid w:val="00573A02"/>
    <w:rsid w:val="00573C04"/>
    <w:rsid w:val="00573C7D"/>
    <w:rsid w:val="00573DE0"/>
    <w:rsid w:val="00574906"/>
    <w:rsid w:val="00574E91"/>
    <w:rsid w:val="00574E9E"/>
    <w:rsid w:val="005752BC"/>
    <w:rsid w:val="00575D5A"/>
    <w:rsid w:val="00575FBE"/>
    <w:rsid w:val="0057616F"/>
    <w:rsid w:val="0057622F"/>
    <w:rsid w:val="00577772"/>
    <w:rsid w:val="00577977"/>
    <w:rsid w:val="00577DFB"/>
    <w:rsid w:val="00581719"/>
    <w:rsid w:val="00581D30"/>
    <w:rsid w:val="0058259C"/>
    <w:rsid w:val="00582624"/>
    <w:rsid w:val="00583362"/>
    <w:rsid w:val="00583DFA"/>
    <w:rsid w:val="00584245"/>
    <w:rsid w:val="00584C2D"/>
    <w:rsid w:val="00584D80"/>
    <w:rsid w:val="00585BCF"/>
    <w:rsid w:val="0058643D"/>
    <w:rsid w:val="00586535"/>
    <w:rsid w:val="00586BB5"/>
    <w:rsid w:val="00586DFB"/>
    <w:rsid w:val="00587C83"/>
    <w:rsid w:val="005905BC"/>
    <w:rsid w:val="005909CB"/>
    <w:rsid w:val="00590B75"/>
    <w:rsid w:val="00590DAA"/>
    <w:rsid w:val="0059205C"/>
    <w:rsid w:val="00592349"/>
    <w:rsid w:val="00592D49"/>
    <w:rsid w:val="005939BA"/>
    <w:rsid w:val="00593FFC"/>
    <w:rsid w:val="0059453A"/>
    <w:rsid w:val="005955BA"/>
    <w:rsid w:val="00596F3F"/>
    <w:rsid w:val="00596F9B"/>
    <w:rsid w:val="00597EEF"/>
    <w:rsid w:val="005A02CB"/>
    <w:rsid w:val="005A0A03"/>
    <w:rsid w:val="005A0F84"/>
    <w:rsid w:val="005A182C"/>
    <w:rsid w:val="005A1C4E"/>
    <w:rsid w:val="005A2E0C"/>
    <w:rsid w:val="005A3678"/>
    <w:rsid w:val="005A39E0"/>
    <w:rsid w:val="005A3DAF"/>
    <w:rsid w:val="005A4251"/>
    <w:rsid w:val="005A4A1A"/>
    <w:rsid w:val="005A5C0F"/>
    <w:rsid w:val="005A61D3"/>
    <w:rsid w:val="005A6A76"/>
    <w:rsid w:val="005A6D23"/>
    <w:rsid w:val="005A7867"/>
    <w:rsid w:val="005A7C0B"/>
    <w:rsid w:val="005A7E70"/>
    <w:rsid w:val="005B0717"/>
    <w:rsid w:val="005B1A53"/>
    <w:rsid w:val="005B2073"/>
    <w:rsid w:val="005B2165"/>
    <w:rsid w:val="005B2416"/>
    <w:rsid w:val="005B2AF7"/>
    <w:rsid w:val="005B40E8"/>
    <w:rsid w:val="005B589D"/>
    <w:rsid w:val="005B5D2A"/>
    <w:rsid w:val="005B6A94"/>
    <w:rsid w:val="005B6DAA"/>
    <w:rsid w:val="005B7314"/>
    <w:rsid w:val="005B7C27"/>
    <w:rsid w:val="005B7D8B"/>
    <w:rsid w:val="005C03F6"/>
    <w:rsid w:val="005C0475"/>
    <w:rsid w:val="005C057D"/>
    <w:rsid w:val="005C140D"/>
    <w:rsid w:val="005C1569"/>
    <w:rsid w:val="005C224F"/>
    <w:rsid w:val="005C348A"/>
    <w:rsid w:val="005C3C1A"/>
    <w:rsid w:val="005C4604"/>
    <w:rsid w:val="005C460E"/>
    <w:rsid w:val="005C46D8"/>
    <w:rsid w:val="005C4BEE"/>
    <w:rsid w:val="005C55F5"/>
    <w:rsid w:val="005C679A"/>
    <w:rsid w:val="005C6E74"/>
    <w:rsid w:val="005C71D4"/>
    <w:rsid w:val="005C732E"/>
    <w:rsid w:val="005C781C"/>
    <w:rsid w:val="005D04B7"/>
    <w:rsid w:val="005D13ED"/>
    <w:rsid w:val="005D181E"/>
    <w:rsid w:val="005D1E16"/>
    <w:rsid w:val="005D330E"/>
    <w:rsid w:val="005D4B9C"/>
    <w:rsid w:val="005D520F"/>
    <w:rsid w:val="005D6221"/>
    <w:rsid w:val="005D645A"/>
    <w:rsid w:val="005D6E07"/>
    <w:rsid w:val="005D73D4"/>
    <w:rsid w:val="005D7A35"/>
    <w:rsid w:val="005D7E20"/>
    <w:rsid w:val="005E034F"/>
    <w:rsid w:val="005E0803"/>
    <w:rsid w:val="005E097B"/>
    <w:rsid w:val="005E09A7"/>
    <w:rsid w:val="005E146E"/>
    <w:rsid w:val="005E198B"/>
    <w:rsid w:val="005E19D9"/>
    <w:rsid w:val="005E1D35"/>
    <w:rsid w:val="005E2846"/>
    <w:rsid w:val="005E2A31"/>
    <w:rsid w:val="005E38AC"/>
    <w:rsid w:val="005E3D2F"/>
    <w:rsid w:val="005E442F"/>
    <w:rsid w:val="005E488E"/>
    <w:rsid w:val="005E4AED"/>
    <w:rsid w:val="005E54A3"/>
    <w:rsid w:val="005E5625"/>
    <w:rsid w:val="005E5E0E"/>
    <w:rsid w:val="005E61D8"/>
    <w:rsid w:val="005E6F2B"/>
    <w:rsid w:val="005E7E2C"/>
    <w:rsid w:val="005F1ADE"/>
    <w:rsid w:val="005F2893"/>
    <w:rsid w:val="005F29CD"/>
    <w:rsid w:val="005F3175"/>
    <w:rsid w:val="005F3436"/>
    <w:rsid w:val="005F3506"/>
    <w:rsid w:val="005F41D8"/>
    <w:rsid w:val="005F4739"/>
    <w:rsid w:val="005F4D05"/>
    <w:rsid w:val="005F6228"/>
    <w:rsid w:val="005F642B"/>
    <w:rsid w:val="005F67FC"/>
    <w:rsid w:val="005F6E70"/>
    <w:rsid w:val="006006CD"/>
    <w:rsid w:val="0060135C"/>
    <w:rsid w:val="00601630"/>
    <w:rsid w:val="00601972"/>
    <w:rsid w:val="00601A28"/>
    <w:rsid w:val="006026E1"/>
    <w:rsid w:val="00603A90"/>
    <w:rsid w:val="00605163"/>
    <w:rsid w:val="006065BF"/>
    <w:rsid w:val="00606F5E"/>
    <w:rsid w:val="006070EA"/>
    <w:rsid w:val="00607ABE"/>
    <w:rsid w:val="00607F53"/>
    <w:rsid w:val="006103D0"/>
    <w:rsid w:val="006104F7"/>
    <w:rsid w:val="0061103A"/>
    <w:rsid w:val="006118E8"/>
    <w:rsid w:val="00611EAE"/>
    <w:rsid w:val="006123AD"/>
    <w:rsid w:val="00612948"/>
    <w:rsid w:val="0061344A"/>
    <w:rsid w:val="0061364A"/>
    <w:rsid w:val="00613BEA"/>
    <w:rsid w:val="0061402C"/>
    <w:rsid w:val="00614AA3"/>
    <w:rsid w:val="006156CB"/>
    <w:rsid w:val="0061595F"/>
    <w:rsid w:val="00615A79"/>
    <w:rsid w:val="00616179"/>
    <w:rsid w:val="0061675B"/>
    <w:rsid w:val="00616833"/>
    <w:rsid w:val="00617BAF"/>
    <w:rsid w:val="0062052B"/>
    <w:rsid w:val="00620797"/>
    <w:rsid w:val="00620F8F"/>
    <w:rsid w:val="00621A86"/>
    <w:rsid w:val="00623401"/>
    <w:rsid w:val="00625865"/>
    <w:rsid w:val="006258B8"/>
    <w:rsid w:val="00625B10"/>
    <w:rsid w:val="00625C40"/>
    <w:rsid w:val="00625DB3"/>
    <w:rsid w:val="0062706E"/>
    <w:rsid w:val="00627E7C"/>
    <w:rsid w:val="006302E8"/>
    <w:rsid w:val="00630CFF"/>
    <w:rsid w:val="00630E8B"/>
    <w:rsid w:val="00631369"/>
    <w:rsid w:val="00631968"/>
    <w:rsid w:val="00632481"/>
    <w:rsid w:val="0063262D"/>
    <w:rsid w:val="0063268B"/>
    <w:rsid w:val="00632B4A"/>
    <w:rsid w:val="0063390E"/>
    <w:rsid w:val="00634673"/>
    <w:rsid w:val="00634FB7"/>
    <w:rsid w:val="00636A7E"/>
    <w:rsid w:val="00636E1E"/>
    <w:rsid w:val="0063746C"/>
    <w:rsid w:val="00637BBD"/>
    <w:rsid w:val="00640D17"/>
    <w:rsid w:val="006415A1"/>
    <w:rsid w:val="00641A99"/>
    <w:rsid w:val="00641CCA"/>
    <w:rsid w:val="00642768"/>
    <w:rsid w:val="00642832"/>
    <w:rsid w:val="00642A84"/>
    <w:rsid w:val="00643DB3"/>
    <w:rsid w:val="00643EC8"/>
    <w:rsid w:val="0064411F"/>
    <w:rsid w:val="006447BF"/>
    <w:rsid w:val="00645E69"/>
    <w:rsid w:val="00646130"/>
    <w:rsid w:val="006463E6"/>
    <w:rsid w:val="0064674F"/>
    <w:rsid w:val="00646A1E"/>
    <w:rsid w:val="00646ACE"/>
    <w:rsid w:val="00646ADD"/>
    <w:rsid w:val="006474C0"/>
    <w:rsid w:val="00647927"/>
    <w:rsid w:val="00647E29"/>
    <w:rsid w:val="00650B2D"/>
    <w:rsid w:val="0065164B"/>
    <w:rsid w:val="00651671"/>
    <w:rsid w:val="00651F77"/>
    <w:rsid w:val="00652B9B"/>
    <w:rsid w:val="00652EDE"/>
    <w:rsid w:val="00652F78"/>
    <w:rsid w:val="006536DC"/>
    <w:rsid w:val="00653743"/>
    <w:rsid w:val="00653DD9"/>
    <w:rsid w:val="00654119"/>
    <w:rsid w:val="006547F8"/>
    <w:rsid w:val="00654943"/>
    <w:rsid w:val="00654E6A"/>
    <w:rsid w:val="00654EC2"/>
    <w:rsid w:val="006551FC"/>
    <w:rsid w:val="00655E69"/>
    <w:rsid w:val="00656403"/>
    <w:rsid w:val="006575F3"/>
    <w:rsid w:val="00657924"/>
    <w:rsid w:val="00660871"/>
    <w:rsid w:val="0066176D"/>
    <w:rsid w:val="00662809"/>
    <w:rsid w:val="00663823"/>
    <w:rsid w:val="0066385F"/>
    <w:rsid w:val="006648D5"/>
    <w:rsid w:val="00664E08"/>
    <w:rsid w:val="006650D0"/>
    <w:rsid w:val="00665A8F"/>
    <w:rsid w:val="006675D2"/>
    <w:rsid w:val="0066774D"/>
    <w:rsid w:val="00667F30"/>
    <w:rsid w:val="00667F42"/>
    <w:rsid w:val="006706D7"/>
    <w:rsid w:val="00671284"/>
    <w:rsid w:val="0067161C"/>
    <w:rsid w:val="006727FC"/>
    <w:rsid w:val="00673450"/>
    <w:rsid w:val="00673906"/>
    <w:rsid w:val="0067391F"/>
    <w:rsid w:val="006750DE"/>
    <w:rsid w:val="006756CD"/>
    <w:rsid w:val="00675F49"/>
    <w:rsid w:val="00676E5B"/>
    <w:rsid w:val="00677D6B"/>
    <w:rsid w:val="00680380"/>
    <w:rsid w:val="00680795"/>
    <w:rsid w:val="00680B42"/>
    <w:rsid w:val="00681523"/>
    <w:rsid w:val="00682713"/>
    <w:rsid w:val="00683451"/>
    <w:rsid w:val="00683579"/>
    <w:rsid w:val="006839E7"/>
    <w:rsid w:val="006843F4"/>
    <w:rsid w:val="00684598"/>
    <w:rsid w:val="006854CE"/>
    <w:rsid w:val="00686B47"/>
    <w:rsid w:val="0068723E"/>
    <w:rsid w:val="0068790B"/>
    <w:rsid w:val="00687AE9"/>
    <w:rsid w:val="006906E4"/>
    <w:rsid w:val="006913EB"/>
    <w:rsid w:val="00691C54"/>
    <w:rsid w:val="00691E49"/>
    <w:rsid w:val="006922DC"/>
    <w:rsid w:val="006928E4"/>
    <w:rsid w:val="006933C9"/>
    <w:rsid w:val="006941DD"/>
    <w:rsid w:val="006942A3"/>
    <w:rsid w:val="006943D1"/>
    <w:rsid w:val="0069466B"/>
    <w:rsid w:val="00694795"/>
    <w:rsid w:val="00695014"/>
    <w:rsid w:val="00696358"/>
    <w:rsid w:val="00696AA8"/>
    <w:rsid w:val="006976AD"/>
    <w:rsid w:val="006A257C"/>
    <w:rsid w:val="006A2615"/>
    <w:rsid w:val="006A335E"/>
    <w:rsid w:val="006A4158"/>
    <w:rsid w:val="006A447C"/>
    <w:rsid w:val="006A4AA7"/>
    <w:rsid w:val="006A4DCC"/>
    <w:rsid w:val="006A4E0C"/>
    <w:rsid w:val="006A4E15"/>
    <w:rsid w:val="006A5866"/>
    <w:rsid w:val="006A5E4F"/>
    <w:rsid w:val="006A643C"/>
    <w:rsid w:val="006A665F"/>
    <w:rsid w:val="006A6FB7"/>
    <w:rsid w:val="006A76A9"/>
    <w:rsid w:val="006A78B0"/>
    <w:rsid w:val="006B0F54"/>
    <w:rsid w:val="006B12C6"/>
    <w:rsid w:val="006B3004"/>
    <w:rsid w:val="006B415B"/>
    <w:rsid w:val="006B4AD6"/>
    <w:rsid w:val="006B4C95"/>
    <w:rsid w:val="006B4CBA"/>
    <w:rsid w:val="006B59AD"/>
    <w:rsid w:val="006B6FEB"/>
    <w:rsid w:val="006B7542"/>
    <w:rsid w:val="006C0A59"/>
    <w:rsid w:val="006C16FB"/>
    <w:rsid w:val="006C19EE"/>
    <w:rsid w:val="006C207A"/>
    <w:rsid w:val="006C2E46"/>
    <w:rsid w:val="006C3B05"/>
    <w:rsid w:val="006C4025"/>
    <w:rsid w:val="006C44A3"/>
    <w:rsid w:val="006C4BB6"/>
    <w:rsid w:val="006C4E45"/>
    <w:rsid w:val="006C5722"/>
    <w:rsid w:val="006C573D"/>
    <w:rsid w:val="006C5EE1"/>
    <w:rsid w:val="006C61B1"/>
    <w:rsid w:val="006C6DB8"/>
    <w:rsid w:val="006C78B9"/>
    <w:rsid w:val="006D059A"/>
    <w:rsid w:val="006D0669"/>
    <w:rsid w:val="006D1BE6"/>
    <w:rsid w:val="006D1D4E"/>
    <w:rsid w:val="006D2993"/>
    <w:rsid w:val="006D3771"/>
    <w:rsid w:val="006D3B72"/>
    <w:rsid w:val="006D440A"/>
    <w:rsid w:val="006D4881"/>
    <w:rsid w:val="006D5599"/>
    <w:rsid w:val="006D592F"/>
    <w:rsid w:val="006D62BE"/>
    <w:rsid w:val="006D7B71"/>
    <w:rsid w:val="006D7FBA"/>
    <w:rsid w:val="006E0006"/>
    <w:rsid w:val="006E01BB"/>
    <w:rsid w:val="006E0DF6"/>
    <w:rsid w:val="006E0FB2"/>
    <w:rsid w:val="006E12BD"/>
    <w:rsid w:val="006E13B0"/>
    <w:rsid w:val="006E16CF"/>
    <w:rsid w:val="006E1BDE"/>
    <w:rsid w:val="006E2498"/>
    <w:rsid w:val="006E25F2"/>
    <w:rsid w:val="006E314A"/>
    <w:rsid w:val="006E336C"/>
    <w:rsid w:val="006E35A9"/>
    <w:rsid w:val="006E3B9E"/>
    <w:rsid w:val="006E4A27"/>
    <w:rsid w:val="006E4AFB"/>
    <w:rsid w:val="006E4DF1"/>
    <w:rsid w:val="006E4FF2"/>
    <w:rsid w:val="006E5828"/>
    <w:rsid w:val="006E6BB9"/>
    <w:rsid w:val="006E784F"/>
    <w:rsid w:val="006F002B"/>
    <w:rsid w:val="006F0B4F"/>
    <w:rsid w:val="006F0E97"/>
    <w:rsid w:val="006F1592"/>
    <w:rsid w:val="006F174B"/>
    <w:rsid w:val="006F205D"/>
    <w:rsid w:val="006F2DF3"/>
    <w:rsid w:val="006F2DF9"/>
    <w:rsid w:val="006F3759"/>
    <w:rsid w:val="006F3C6F"/>
    <w:rsid w:val="006F41C6"/>
    <w:rsid w:val="006F4317"/>
    <w:rsid w:val="006F5DD9"/>
    <w:rsid w:val="006F61D2"/>
    <w:rsid w:val="006F6FA2"/>
    <w:rsid w:val="007001D0"/>
    <w:rsid w:val="007002C5"/>
    <w:rsid w:val="00700CE3"/>
    <w:rsid w:val="00701498"/>
    <w:rsid w:val="00701E70"/>
    <w:rsid w:val="00702E26"/>
    <w:rsid w:val="00703183"/>
    <w:rsid w:val="00704BB6"/>
    <w:rsid w:val="00704F47"/>
    <w:rsid w:val="00705001"/>
    <w:rsid w:val="00705177"/>
    <w:rsid w:val="0070574B"/>
    <w:rsid w:val="00705BC0"/>
    <w:rsid w:val="00706D1F"/>
    <w:rsid w:val="007072C2"/>
    <w:rsid w:val="0070746B"/>
    <w:rsid w:val="007075CA"/>
    <w:rsid w:val="00710C02"/>
    <w:rsid w:val="007114A1"/>
    <w:rsid w:val="0071151E"/>
    <w:rsid w:val="007117F8"/>
    <w:rsid w:val="007118AC"/>
    <w:rsid w:val="00711FC7"/>
    <w:rsid w:val="007128F4"/>
    <w:rsid w:val="0071482B"/>
    <w:rsid w:val="00714C8F"/>
    <w:rsid w:val="00715A32"/>
    <w:rsid w:val="00715B8B"/>
    <w:rsid w:val="007163FB"/>
    <w:rsid w:val="00716CCB"/>
    <w:rsid w:val="00716F57"/>
    <w:rsid w:val="0071772B"/>
    <w:rsid w:val="00717A74"/>
    <w:rsid w:val="00720493"/>
    <w:rsid w:val="00720EA2"/>
    <w:rsid w:val="00721409"/>
    <w:rsid w:val="00721CE0"/>
    <w:rsid w:val="007221A2"/>
    <w:rsid w:val="00722935"/>
    <w:rsid w:val="00723BA8"/>
    <w:rsid w:val="00724257"/>
    <w:rsid w:val="0072431B"/>
    <w:rsid w:val="0072568C"/>
    <w:rsid w:val="00725A0A"/>
    <w:rsid w:val="00725ADA"/>
    <w:rsid w:val="0072628F"/>
    <w:rsid w:val="00726FDE"/>
    <w:rsid w:val="00727815"/>
    <w:rsid w:val="007301A7"/>
    <w:rsid w:val="00730E31"/>
    <w:rsid w:val="007313A4"/>
    <w:rsid w:val="00732FD4"/>
    <w:rsid w:val="0073380A"/>
    <w:rsid w:val="00733B36"/>
    <w:rsid w:val="007346F8"/>
    <w:rsid w:val="00734D66"/>
    <w:rsid w:val="00734E06"/>
    <w:rsid w:val="007355C7"/>
    <w:rsid w:val="00736B4A"/>
    <w:rsid w:val="00736E9D"/>
    <w:rsid w:val="007373FA"/>
    <w:rsid w:val="007379EF"/>
    <w:rsid w:val="00737E7D"/>
    <w:rsid w:val="00737EEA"/>
    <w:rsid w:val="0074002A"/>
    <w:rsid w:val="007403EB"/>
    <w:rsid w:val="0074063F"/>
    <w:rsid w:val="007406DA"/>
    <w:rsid w:val="00740EF1"/>
    <w:rsid w:val="007418ED"/>
    <w:rsid w:val="00741BF8"/>
    <w:rsid w:val="0074250E"/>
    <w:rsid w:val="007432CE"/>
    <w:rsid w:val="007437BA"/>
    <w:rsid w:val="007444E7"/>
    <w:rsid w:val="00744DBD"/>
    <w:rsid w:val="00745398"/>
    <w:rsid w:val="0074547D"/>
    <w:rsid w:val="00745A05"/>
    <w:rsid w:val="00746681"/>
    <w:rsid w:val="00746FC3"/>
    <w:rsid w:val="007476BA"/>
    <w:rsid w:val="007477E3"/>
    <w:rsid w:val="00747B90"/>
    <w:rsid w:val="00754870"/>
    <w:rsid w:val="00754FBA"/>
    <w:rsid w:val="00755B9A"/>
    <w:rsid w:val="007561F0"/>
    <w:rsid w:val="00756632"/>
    <w:rsid w:val="0075754A"/>
    <w:rsid w:val="00760554"/>
    <w:rsid w:val="00760775"/>
    <w:rsid w:val="0076083D"/>
    <w:rsid w:val="007613FB"/>
    <w:rsid w:val="00761DC2"/>
    <w:rsid w:val="0076204C"/>
    <w:rsid w:val="00762B1E"/>
    <w:rsid w:val="00764B94"/>
    <w:rsid w:val="007652E2"/>
    <w:rsid w:val="007659A5"/>
    <w:rsid w:val="007659EC"/>
    <w:rsid w:val="00765A82"/>
    <w:rsid w:val="00766434"/>
    <w:rsid w:val="0076653E"/>
    <w:rsid w:val="00770E10"/>
    <w:rsid w:val="00771E5C"/>
    <w:rsid w:val="00772107"/>
    <w:rsid w:val="00772A9B"/>
    <w:rsid w:val="00772BA7"/>
    <w:rsid w:val="00773E30"/>
    <w:rsid w:val="007742FF"/>
    <w:rsid w:val="00774A83"/>
    <w:rsid w:val="00775146"/>
    <w:rsid w:val="0077566D"/>
    <w:rsid w:val="00776014"/>
    <w:rsid w:val="00776097"/>
    <w:rsid w:val="007766A5"/>
    <w:rsid w:val="00776E39"/>
    <w:rsid w:val="00777907"/>
    <w:rsid w:val="0078016D"/>
    <w:rsid w:val="007807BE"/>
    <w:rsid w:val="00781638"/>
    <w:rsid w:val="00781778"/>
    <w:rsid w:val="00782098"/>
    <w:rsid w:val="00782467"/>
    <w:rsid w:val="00783D75"/>
    <w:rsid w:val="00784601"/>
    <w:rsid w:val="00784AB7"/>
    <w:rsid w:val="007857E3"/>
    <w:rsid w:val="007860F4"/>
    <w:rsid w:val="00786231"/>
    <w:rsid w:val="00786F53"/>
    <w:rsid w:val="0079000B"/>
    <w:rsid w:val="007900AF"/>
    <w:rsid w:val="007900CB"/>
    <w:rsid w:val="007905B2"/>
    <w:rsid w:val="00790E9B"/>
    <w:rsid w:val="007917E7"/>
    <w:rsid w:val="00791EDE"/>
    <w:rsid w:val="00791F84"/>
    <w:rsid w:val="0079267A"/>
    <w:rsid w:val="007927C6"/>
    <w:rsid w:val="007933FE"/>
    <w:rsid w:val="0079348E"/>
    <w:rsid w:val="00793EEB"/>
    <w:rsid w:val="0079405B"/>
    <w:rsid w:val="007942BA"/>
    <w:rsid w:val="00795679"/>
    <w:rsid w:val="007962E2"/>
    <w:rsid w:val="0079797F"/>
    <w:rsid w:val="007A05F4"/>
    <w:rsid w:val="007A0BB9"/>
    <w:rsid w:val="007A14E8"/>
    <w:rsid w:val="007A1D73"/>
    <w:rsid w:val="007A3FD7"/>
    <w:rsid w:val="007A4023"/>
    <w:rsid w:val="007A4C91"/>
    <w:rsid w:val="007A5445"/>
    <w:rsid w:val="007A5A94"/>
    <w:rsid w:val="007A5E11"/>
    <w:rsid w:val="007A6910"/>
    <w:rsid w:val="007A6A47"/>
    <w:rsid w:val="007A6C47"/>
    <w:rsid w:val="007A6E37"/>
    <w:rsid w:val="007B0BF2"/>
    <w:rsid w:val="007B13F7"/>
    <w:rsid w:val="007B1D8A"/>
    <w:rsid w:val="007B31F7"/>
    <w:rsid w:val="007B347F"/>
    <w:rsid w:val="007B39F6"/>
    <w:rsid w:val="007B41B1"/>
    <w:rsid w:val="007B4481"/>
    <w:rsid w:val="007B4EFE"/>
    <w:rsid w:val="007B5656"/>
    <w:rsid w:val="007B58A3"/>
    <w:rsid w:val="007B5A98"/>
    <w:rsid w:val="007B5E30"/>
    <w:rsid w:val="007B5E45"/>
    <w:rsid w:val="007B6AE6"/>
    <w:rsid w:val="007B726E"/>
    <w:rsid w:val="007C1DB0"/>
    <w:rsid w:val="007C2270"/>
    <w:rsid w:val="007C27D4"/>
    <w:rsid w:val="007C2CC4"/>
    <w:rsid w:val="007C4542"/>
    <w:rsid w:val="007C468F"/>
    <w:rsid w:val="007C4720"/>
    <w:rsid w:val="007C4CCE"/>
    <w:rsid w:val="007C5546"/>
    <w:rsid w:val="007C570A"/>
    <w:rsid w:val="007C5873"/>
    <w:rsid w:val="007C5B44"/>
    <w:rsid w:val="007C7D49"/>
    <w:rsid w:val="007C7DE5"/>
    <w:rsid w:val="007C7E41"/>
    <w:rsid w:val="007D0204"/>
    <w:rsid w:val="007D0ADA"/>
    <w:rsid w:val="007D0EEB"/>
    <w:rsid w:val="007D1D99"/>
    <w:rsid w:val="007D1D9F"/>
    <w:rsid w:val="007D3510"/>
    <w:rsid w:val="007D3A7A"/>
    <w:rsid w:val="007D3FCA"/>
    <w:rsid w:val="007D4156"/>
    <w:rsid w:val="007D4D2A"/>
    <w:rsid w:val="007D51BA"/>
    <w:rsid w:val="007D5B26"/>
    <w:rsid w:val="007D5D2B"/>
    <w:rsid w:val="007D5E52"/>
    <w:rsid w:val="007D763D"/>
    <w:rsid w:val="007D77A3"/>
    <w:rsid w:val="007E00B1"/>
    <w:rsid w:val="007E02E7"/>
    <w:rsid w:val="007E0749"/>
    <w:rsid w:val="007E104E"/>
    <w:rsid w:val="007E2F87"/>
    <w:rsid w:val="007E334F"/>
    <w:rsid w:val="007E3AC7"/>
    <w:rsid w:val="007E3CC7"/>
    <w:rsid w:val="007E4155"/>
    <w:rsid w:val="007E57B5"/>
    <w:rsid w:val="007E5D39"/>
    <w:rsid w:val="007E66C8"/>
    <w:rsid w:val="007E67BD"/>
    <w:rsid w:val="007E6BBD"/>
    <w:rsid w:val="007E7910"/>
    <w:rsid w:val="007F06E1"/>
    <w:rsid w:val="007F0C09"/>
    <w:rsid w:val="007F0FFF"/>
    <w:rsid w:val="007F3E75"/>
    <w:rsid w:val="007F47A2"/>
    <w:rsid w:val="007F4DD4"/>
    <w:rsid w:val="007F4E35"/>
    <w:rsid w:val="007F5179"/>
    <w:rsid w:val="007F517F"/>
    <w:rsid w:val="007F537D"/>
    <w:rsid w:val="007F5D35"/>
    <w:rsid w:val="007F6391"/>
    <w:rsid w:val="007F6CAD"/>
    <w:rsid w:val="007F6F40"/>
    <w:rsid w:val="007F6FB8"/>
    <w:rsid w:val="007F7051"/>
    <w:rsid w:val="007F7481"/>
    <w:rsid w:val="007F76FF"/>
    <w:rsid w:val="007F7E83"/>
    <w:rsid w:val="0080128B"/>
    <w:rsid w:val="00801491"/>
    <w:rsid w:val="008015A7"/>
    <w:rsid w:val="00801B8F"/>
    <w:rsid w:val="00801EF6"/>
    <w:rsid w:val="00802ACF"/>
    <w:rsid w:val="00802AEC"/>
    <w:rsid w:val="00803099"/>
    <w:rsid w:val="0080406C"/>
    <w:rsid w:val="0080562C"/>
    <w:rsid w:val="00806012"/>
    <w:rsid w:val="008071D0"/>
    <w:rsid w:val="0081004B"/>
    <w:rsid w:val="0081037F"/>
    <w:rsid w:val="0081066B"/>
    <w:rsid w:val="00810809"/>
    <w:rsid w:val="00810C6A"/>
    <w:rsid w:val="00810C86"/>
    <w:rsid w:val="00811FF4"/>
    <w:rsid w:val="00812350"/>
    <w:rsid w:val="00812369"/>
    <w:rsid w:val="00812741"/>
    <w:rsid w:val="00812765"/>
    <w:rsid w:val="008128E3"/>
    <w:rsid w:val="00812B12"/>
    <w:rsid w:val="008130F8"/>
    <w:rsid w:val="00815871"/>
    <w:rsid w:val="00815CAB"/>
    <w:rsid w:val="008177B8"/>
    <w:rsid w:val="00817F2E"/>
    <w:rsid w:val="00821319"/>
    <w:rsid w:val="00821789"/>
    <w:rsid w:val="0082180B"/>
    <w:rsid w:val="00821BC9"/>
    <w:rsid w:val="008242CF"/>
    <w:rsid w:val="00824D4A"/>
    <w:rsid w:val="00825147"/>
    <w:rsid w:val="00825245"/>
    <w:rsid w:val="00825611"/>
    <w:rsid w:val="0082593D"/>
    <w:rsid w:val="00825D4F"/>
    <w:rsid w:val="00830017"/>
    <w:rsid w:val="008300D1"/>
    <w:rsid w:val="00830787"/>
    <w:rsid w:val="00830DC9"/>
    <w:rsid w:val="00831489"/>
    <w:rsid w:val="0083234D"/>
    <w:rsid w:val="00833A6A"/>
    <w:rsid w:val="00833E2F"/>
    <w:rsid w:val="0083423B"/>
    <w:rsid w:val="00834240"/>
    <w:rsid w:val="008345A1"/>
    <w:rsid w:val="0083485D"/>
    <w:rsid w:val="00834F9A"/>
    <w:rsid w:val="00835F46"/>
    <w:rsid w:val="008368F3"/>
    <w:rsid w:val="0083744B"/>
    <w:rsid w:val="00837523"/>
    <w:rsid w:val="008400A8"/>
    <w:rsid w:val="0084156A"/>
    <w:rsid w:val="00841810"/>
    <w:rsid w:val="008425BD"/>
    <w:rsid w:val="008427B1"/>
    <w:rsid w:val="00843529"/>
    <w:rsid w:val="00843543"/>
    <w:rsid w:val="008449FF"/>
    <w:rsid w:val="00844C9D"/>
    <w:rsid w:val="00845E77"/>
    <w:rsid w:val="0084601D"/>
    <w:rsid w:val="008462FB"/>
    <w:rsid w:val="00846C73"/>
    <w:rsid w:val="00847640"/>
    <w:rsid w:val="008500CD"/>
    <w:rsid w:val="00850462"/>
    <w:rsid w:val="00850525"/>
    <w:rsid w:val="0085161D"/>
    <w:rsid w:val="00851F5F"/>
    <w:rsid w:val="00852036"/>
    <w:rsid w:val="0085267F"/>
    <w:rsid w:val="00852EEF"/>
    <w:rsid w:val="00853A87"/>
    <w:rsid w:val="008549AE"/>
    <w:rsid w:val="00855597"/>
    <w:rsid w:val="00855767"/>
    <w:rsid w:val="00855780"/>
    <w:rsid w:val="008557AA"/>
    <w:rsid w:val="00855AA6"/>
    <w:rsid w:val="00856178"/>
    <w:rsid w:val="008567C0"/>
    <w:rsid w:val="00856B56"/>
    <w:rsid w:val="00856C69"/>
    <w:rsid w:val="008570AB"/>
    <w:rsid w:val="00857E2C"/>
    <w:rsid w:val="00862222"/>
    <w:rsid w:val="00862545"/>
    <w:rsid w:val="00862D62"/>
    <w:rsid w:val="00863356"/>
    <w:rsid w:val="0086428A"/>
    <w:rsid w:val="00864544"/>
    <w:rsid w:val="00865169"/>
    <w:rsid w:val="008653B5"/>
    <w:rsid w:val="008653E6"/>
    <w:rsid w:val="00865A76"/>
    <w:rsid w:val="008663D7"/>
    <w:rsid w:val="00866EF3"/>
    <w:rsid w:val="0086730B"/>
    <w:rsid w:val="00867331"/>
    <w:rsid w:val="008674DC"/>
    <w:rsid w:val="008679E6"/>
    <w:rsid w:val="00867A0F"/>
    <w:rsid w:val="00871811"/>
    <w:rsid w:val="008720C5"/>
    <w:rsid w:val="00872E1F"/>
    <w:rsid w:val="00873942"/>
    <w:rsid w:val="00873E39"/>
    <w:rsid w:val="0087400E"/>
    <w:rsid w:val="0087426F"/>
    <w:rsid w:val="008745A0"/>
    <w:rsid w:val="00875D1E"/>
    <w:rsid w:val="00880558"/>
    <w:rsid w:val="008813D4"/>
    <w:rsid w:val="00881DD6"/>
    <w:rsid w:val="00882ED0"/>
    <w:rsid w:val="00883894"/>
    <w:rsid w:val="00885DA2"/>
    <w:rsid w:val="00885E17"/>
    <w:rsid w:val="00886342"/>
    <w:rsid w:val="0088683E"/>
    <w:rsid w:val="0088685B"/>
    <w:rsid w:val="0088738B"/>
    <w:rsid w:val="008873A5"/>
    <w:rsid w:val="008875DE"/>
    <w:rsid w:val="0089074D"/>
    <w:rsid w:val="0089092F"/>
    <w:rsid w:val="00890ACF"/>
    <w:rsid w:val="00890E0D"/>
    <w:rsid w:val="0089136A"/>
    <w:rsid w:val="00893594"/>
    <w:rsid w:val="008947EA"/>
    <w:rsid w:val="00894ABF"/>
    <w:rsid w:val="00895FFF"/>
    <w:rsid w:val="008962E2"/>
    <w:rsid w:val="00896DF2"/>
    <w:rsid w:val="00896FF4"/>
    <w:rsid w:val="0089725A"/>
    <w:rsid w:val="00897322"/>
    <w:rsid w:val="008A084D"/>
    <w:rsid w:val="008A0E33"/>
    <w:rsid w:val="008A0E85"/>
    <w:rsid w:val="008A15CB"/>
    <w:rsid w:val="008A19B5"/>
    <w:rsid w:val="008A1DDE"/>
    <w:rsid w:val="008A2544"/>
    <w:rsid w:val="008A34CE"/>
    <w:rsid w:val="008A371D"/>
    <w:rsid w:val="008A40A7"/>
    <w:rsid w:val="008A5443"/>
    <w:rsid w:val="008A55A8"/>
    <w:rsid w:val="008A5B0A"/>
    <w:rsid w:val="008A5F01"/>
    <w:rsid w:val="008A6126"/>
    <w:rsid w:val="008A619A"/>
    <w:rsid w:val="008A61E6"/>
    <w:rsid w:val="008A6B66"/>
    <w:rsid w:val="008A7078"/>
    <w:rsid w:val="008A76FE"/>
    <w:rsid w:val="008B0468"/>
    <w:rsid w:val="008B0969"/>
    <w:rsid w:val="008B11D0"/>
    <w:rsid w:val="008B146A"/>
    <w:rsid w:val="008B1575"/>
    <w:rsid w:val="008B2CFD"/>
    <w:rsid w:val="008B32B6"/>
    <w:rsid w:val="008B4464"/>
    <w:rsid w:val="008B470A"/>
    <w:rsid w:val="008B4B86"/>
    <w:rsid w:val="008B4BF2"/>
    <w:rsid w:val="008B56E5"/>
    <w:rsid w:val="008B576A"/>
    <w:rsid w:val="008B5AFD"/>
    <w:rsid w:val="008B6650"/>
    <w:rsid w:val="008B6774"/>
    <w:rsid w:val="008B729C"/>
    <w:rsid w:val="008B75CB"/>
    <w:rsid w:val="008B770E"/>
    <w:rsid w:val="008B7A4E"/>
    <w:rsid w:val="008B7C64"/>
    <w:rsid w:val="008C02EA"/>
    <w:rsid w:val="008C1506"/>
    <w:rsid w:val="008C2472"/>
    <w:rsid w:val="008C2D30"/>
    <w:rsid w:val="008C33F2"/>
    <w:rsid w:val="008C404B"/>
    <w:rsid w:val="008C444D"/>
    <w:rsid w:val="008C4577"/>
    <w:rsid w:val="008C6C92"/>
    <w:rsid w:val="008C77F7"/>
    <w:rsid w:val="008D0262"/>
    <w:rsid w:val="008D0AE4"/>
    <w:rsid w:val="008D0F52"/>
    <w:rsid w:val="008D1B0D"/>
    <w:rsid w:val="008D20E6"/>
    <w:rsid w:val="008D290F"/>
    <w:rsid w:val="008D2F52"/>
    <w:rsid w:val="008D2F5B"/>
    <w:rsid w:val="008D30D3"/>
    <w:rsid w:val="008D3E19"/>
    <w:rsid w:val="008D5462"/>
    <w:rsid w:val="008D57A4"/>
    <w:rsid w:val="008D5F06"/>
    <w:rsid w:val="008D6B57"/>
    <w:rsid w:val="008D74C3"/>
    <w:rsid w:val="008D7DFC"/>
    <w:rsid w:val="008D7F82"/>
    <w:rsid w:val="008E00FD"/>
    <w:rsid w:val="008E07C6"/>
    <w:rsid w:val="008E0F4E"/>
    <w:rsid w:val="008E152D"/>
    <w:rsid w:val="008E2A48"/>
    <w:rsid w:val="008E3214"/>
    <w:rsid w:val="008E33EA"/>
    <w:rsid w:val="008E4180"/>
    <w:rsid w:val="008E4ECE"/>
    <w:rsid w:val="008E5BB7"/>
    <w:rsid w:val="008E5F84"/>
    <w:rsid w:val="008E6A1B"/>
    <w:rsid w:val="008E6B2D"/>
    <w:rsid w:val="008E6FAD"/>
    <w:rsid w:val="008E6FF6"/>
    <w:rsid w:val="008E72E5"/>
    <w:rsid w:val="008E79F9"/>
    <w:rsid w:val="008E7DCC"/>
    <w:rsid w:val="008F0EA9"/>
    <w:rsid w:val="008F1267"/>
    <w:rsid w:val="008F156A"/>
    <w:rsid w:val="008F1B1E"/>
    <w:rsid w:val="008F1B6B"/>
    <w:rsid w:val="008F2B7E"/>
    <w:rsid w:val="008F31DF"/>
    <w:rsid w:val="008F38F6"/>
    <w:rsid w:val="008F3A01"/>
    <w:rsid w:val="008F411D"/>
    <w:rsid w:val="008F4D31"/>
    <w:rsid w:val="008F53F5"/>
    <w:rsid w:val="008F56A2"/>
    <w:rsid w:val="008F5DFA"/>
    <w:rsid w:val="008F5FF0"/>
    <w:rsid w:val="008F61F2"/>
    <w:rsid w:val="008F63BC"/>
    <w:rsid w:val="008F6485"/>
    <w:rsid w:val="008F710C"/>
    <w:rsid w:val="008F743D"/>
    <w:rsid w:val="008F77E7"/>
    <w:rsid w:val="008F7B17"/>
    <w:rsid w:val="008F7C08"/>
    <w:rsid w:val="008F7F78"/>
    <w:rsid w:val="009000EC"/>
    <w:rsid w:val="00900316"/>
    <w:rsid w:val="009010D0"/>
    <w:rsid w:val="0090122A"/>
    <w:rsid w:val="00901DFB"/>
    <w:rsid w:val="00901F73"/>
    <w:rsid w:val="0090394F"/>
    <w:rsid w:val="009048DE"/>
    <w:rsid w:val="009054D3"/>
    <w:rsid w:val="00905587"/>
    <w:rsid w:val="009057D3"/>
    <w:rsid w:val="00907B9D"/>
    <w:rsid w:val="0091026F"/>
    <w:rsid w:val="00910C23"/>
    <w:rsid w:val="00910CFA"/>
    <w:rsid w:val="00912091"/>
    <w:rsid w:val="009125D2"/>
    <w:rsid w:val="00913783"/>
    <w:rsid w:val="00914007"/>
    <w:rsid w:val="00914D84"/>
    <w:rsid w:val="00915E3F"/>
    <w:rsid w:val="00915F49"/>
    <w:rsid w:val="00915F97"/>
    <w:rsid w:val="009179EB"/>
    <w:rsid w:val="00920207"/>
    <w:rsid w:val="009208E9"/>
    <w:rsid w:val="009210F5"/>
    <w:rsid w:val="0092273F"/>
    <w:rsid w:val="009235B5"/>
    <w:rsid w:val="009238F1"/>
    <w:rsid w:val="009249B4"/>
    <w:rsid w:val="00925A29"/>
    <w:rsid w:val="00926716"/>
    <w:rsid w:val="00926B2B"/>
    <w:rsid w:val="009270DB"/>
    <w:rsid w:val="00927541"/>
    <w:rsid w:val="009278E6"/>
    <w:rsid w:val="00927C32"/>
    <w:rsid w:val="00930996"/>
    <w:rsid w:val="00930BEB"/>
    <w:rsid w:val="009323DF"/>
    <w:rsid w:val="00932AFC"/>
    <w:rsid w:val="00932E4E"/>
    <w:rsid w:val="0093389C"/>
    <w:rsid w:val="00933A7D"/>
    <w:rsid w:val="00933DA9"/>
    <w:rsid w:val="0093452F"/>
    <w:rsid w:val="0093491F"/>
    <w:rsid w:val="00935E14"/>
    <w:rsid w:val="0093615C"/>
    <w:rsid w:val="00936378"/>
    <w:rsid w:val="00937703"/>
    <w:rsid w:val="00941B73"/>
    <w:rsid w:val="00941E4F"/>
    <w:rsid w:val="009420B7"/>
    <w:rsid w:val="00942454"/>
    <w:rsid w:val="00943251"/>
    <w:rsid w:val="0094480E"/>
    <w:rsid w:val="00945539"/>
    <w:rsid w:val="0094644C"/>
    <w:rsid w:val="0094791E"/>
    <w:rsid w:val="00947B5B"/>
    <w:rsid w:val="00947C6D"/>
    <w:rsid w:val="00950281"/>
    <w:rsid w:val="00951B4A"/>
    <w:rsid w:val="00951BD3"/>
    <w:rsid w:val="009529FD"/>
    <w:rsid w:val="00952B8F"/>
    <w:rsid w:val="00953675"/>
    <w:rsid w:val="00953DBC"/>
    <w:rsid w:val="00954600"/>
    <w:rsid w:val="0095496C"/>
    <w:rsid w:val="00954E2D"/>
    <w:rsid w:val="0095569B"/>
    <w:rsid w:val="009559F2"/>
    <w:rsid w:val="00955F57"/>
    <w:rsid w:val="009562CC"/>
    <w:rsid w:val="0095695E"/>
    <w:rsid w:val="00957310"/>
    <w:rsid w:val="0095750D"/>
    <w:rsid w:val="00957DF1"/>
    <w:rsid w:val="00960553"/>
    <w:rsid w:val="00960B83"/>
    <w:rsid w:val="00961BC7"/>
    <w:rsid w:val="00961F4B"/>
    <w:rsid w:val="00962282"/>
    <w:rsid w:val="00962B8F"/>
    <w:rsid w:val="00963209"/>
    <w:rsid w:val="009637E4"/>
    <w:rsid w:val="00964464"/>
    <w:rsid w:val="00964823"/>
    <w:rsid w:val="00965039"/>
    <w:rsid w:val="00965665"/>
    <w:rsid w:val="0096632E"/>
    <w:rsid w:val="009666B2"/>
    <w:rsid w:val="00966813"/>
    <w:rsid w:val="00966D4F"/>
    <w:rsid w:val="00967866"/>
    <w:rsid w:val="00970E65"/>
    <w:rsid w:val="0097102C"/>
    <w:rsid w:val="0097133A"/>
    <w:rsid w:val="00971355"/>
    <w:rsid w:val="00971CBF"/>
    <w:rsid w:val="00971F52"/>
    <w:rsid w:val="0097202E"/>
    <w:rsid w:val="00972067"/>
    <w:rsid w:val="009726F5"/>
    <w:rsid w:val="00972AC6"/>
    <w:rsid w:val="00972B50"/>
    <w:rsid w:val="00972E0B"/>
    <w:rsid w:val="009742E0"/>
    <w:rsid w:val="0097462D"/>
    <w:rsid w:val="009748F0"/>
    <w:rsid w:val="00974A7C"/>
    <w:rsid w:val="0097587B"/>
    <w:rsid w:val="009763C1"/>
    <w:rsid w:val="009765E1"/>
    <w:rsid w:val="009766FE"/>
    <w:rsid w:val="0097672E"/>
    <w:rsid w:val="00976ADE"/>
    <w:rsid w:val="00976D9C"/>
    <w:rsid w:val="00977715"/>
    <w:rsid w:val="00980439"/>
    <w:rsid w:val="009817AB"/>
    <w:rsid w:val="0098230C"/>
    <w:rsid w:val="00982444"/>
    <w:rsid w:val="00982BA7"/>
    <w:rsid w:val="00982D92"/>
    <w:rsid w:val="00982F10"/>
    <w:rsid w:val="009834A0"/>
    <w:rsid w:val="009843A8"/>
    <w:rsid w:val="009845DE"/>
    <w:rsid w:val="00984993"/>
    <w:rsid w:val="00984CA2"/>
    <w:rsid w:val="009854F1"/>
    <w:rsid w:val="00985E65"/>
    <w:rsid w:val="009867E6"/>
    <w:rsid w:val="0098714A"/>
    <w:rsid w:val="00990428"/>
    <w:rsid w:val="00990BC8"/>
    <w:rsid w:val="00992CC7"/>
    <w:rsid w:val="009936C4"/>
    <w:rsid w:val="00993EA1"/>
    <w:rsid w:val="0099496C"/>
    <w:rsid w:val="00994DDD"/>
    <w:rsid w:val="00995416"/>
    <w:rsid w:val="00995432"/>
    <w:rsid w:val="00995582"/>
    <w:rsid w:val="009960D0"/>
    <w:rsid w:val="0099620A"/>
    <w:rsid w:val="00996569"/>
    <w:rsid w:val="009A057B"/>
    <w:rsid w:val="009A06F0"/>
    <w:rsid w:val="009A088E"/>
    <w:rsid w:val="009A0BFF"/>
    <w:rsid w:val="009A14DE"/>
    <w:rsid w:val="009A2294"/>
    <w:rsid w:val="009A34AC"/>
    <w:rsid w:val="009A40DD"/>
    <w:rsid w:val="009A52CD"/>
    <w:rsid w:val="009A5F36"/>
    <w:rsid w:val="009A66B2"/>
    <w:rsid w:val="009A6DED"/>
    <w:rsid w:val="009A72B5"/>
    <w:rsid w:val="009A75E8"/>
    <w:rsid w:val="009A7BC2"/>
    <w:rsid w:val="009B011E"/>
    <w:rsid w:val="009B180F"/>
    <w:rsid w:val="009B1897"/>
    <w:rsid w:val="009B1BB7"/>
    <w:rsid w:val="009B1C51"/>
    <w:rsid w:val="009B28A0"/>
    <w:rsid w:val="009B40CF"/>
    <w:rsid w:val="009B48D4"/>
    <w:rsid w:val="009B4B42"/>
    <w:rsid w:val="009B751B"/>
    <w:rsid w:val="009C0616"/>
    <w:rsid w:val="009C0992"/>
    <w:rsid w:val="009C0C48"/>
    <w:rsid w:val="009C1830"/>
    <w:rsid w:val="009C23DA"/>
    <w:rsid w:val="009C24B3"/>
    <w:rsid w:val="009C2C09"/>
    <w:rsid w:val="009C2E5A"/>
    <w:rsid w:val="009C2ED0"/>
    <w:rsid w:val="009C2FA2"/>
    <w:rsid w:val="009C6214"/>
    <w:rsid w:val="009C645A"/>
    <w:rsid w:val="009C672A"/>
    <w:rsid w:val="009C703A"/>
    <w:rsid w:val="009C7B18"/>
    <w:rsid w:val="009C7C46"/>
    <w:rsid w:val="009C7D55"/>
    <w:rsid w:val="009C7F52"/>
    <w:rsid w:val="009D07F2"/>
    <w:rsid w:val="009D0A25"/>
    <w:rsid w:val="009D162B"/>
    <w:rsid w:val="009D1884"/>
    <w:rsid w:val="009D24A3"/>
    <w:rsid w:val="009D2FD6"/>
    <w:rsid w:val="009D3295"/>
    <w:rsid w:val="009D3665"/>
    <w:rsid w:val="009D3C84"/>
    <w:rsid w:val="009D40A1"/>
    <w:rsid w:val="009D40C6"/>
    <w:rsid w:val="009D54F3"/>
    <w:rsid w:val="009D5DA3"/>
    <w:rsid w:val="009D6065"/>
    <w:rsid w:val="009D6969"/>
    <w:rsid w:val="009D6EF4"/>
    <w:rsid w:val="009D7470"/>
    <w:rsid w:val="009D7A58"/>
    <w:rsid w:val="009E0638"/>
    <w:rsid w:val="009E0828"/>
    <w:rsid w:val="009E0CED"/>
    <w:rsid w:val="009E17A2"/>
    <w:rsid w:val="009E1EE0"/>
    <w:rsid w:val="009E214E"/>
    <w:rsid w:val="009E2D23"/>
    <w:rsid w:val="009E33A6"/>
    <w:rsid w:val="009E4043"/>
    <w:rsid w:val="009E43C1"/>
    <w:rsid w:val="009E4F72"/>
    <w:rsid w:val="009E54AE"/>
    <w:rsid w:val="009E5FC3"/>
    <w:rsid w:val="009E6046"/>
    <w:rsid w:val="009E69CA"/>
    <w:rsid w:val="009E6DF1"/>
    <w:rsid w:val="009F0564"/>
    <w:rsid w:val="009F1187"/>
    <w:rsid w:val="009F22A5"/>
    <w:rsid w:val="009F241C"/>
    <w:rsid w:val="009F3ABF"/>
    <w:rsid w:val="009F3AE2"/>
    <w:rsid w:val="009F3BA0"/>
    <w:rsid w:val="009F3EDD"/>
    <w:rsid w:val="009F3F5D"/>
    <w:rsid w:val="009F43CB"/>
    <w:rsid w:val="009F4CB9"/>
    <w:rsid w:val="009F522C"/>
    <w:rsid w:val="009F6781"/>
    <w:rsid w:val="00A00283"/>
    <w:rsid w:val="00A01A92"/>
    <w:rsid w:val="00A01C02"/>
    <w:rsid w:val="00A02D24"/>
    <w:rsid w:val="00A02E16"/>
    <w:rsid w:val="00A03518"/>
    <w:rsid w:val="00A04C07"/>
    <w:rsid w:val="00A05113"/>
    <w:rsid w:val="00A054DC"/>
    <w:rsid w:val="00A055A3"/>
    <w:rsid w:val="00A069AE"/>
    <w:rsid w:val="00A06A75"/>
    <w:rsid w:val="00A06E69"/>
    <w:rsid w:val="00A0748E"/>
    <w:rsid w:val="00A07565"/>
    <w:rsid w:val="00A07A72"/>
    <w:rsid w:val="00A10389"/>
    <w:rsid w:val="00A1133E"/>
    <w:rsid w:val="00A11888"/>
    <w:rsid w:val="00A11B5A"/>
    <w:rsid w:val="00A11E62"/>
    <w:rsid w:val="00A11E8F"/>
    <w:rsid w:val="00A12369"/>
    <w:rsid w:val="00A13522"/>
    <w:rsid w:val="00A13B82"/>
    <w:rsid w:val="00A14357"/>
    <w:rsid w:val="00A14FBB"/>
    <w:rsid w:val="00A1524F"/>
    <w:rsid w:val="00A15E63"/>
    <w:rsid w:val="00A167D9"/>
    <w:rsid w:val="00A16DB9"/>
    <w:rsid w:val="00A17672"/>
    <w:rsid w:val="00A17941"/>
    <w:rsid w:val="00A20A68"/>
    <w:rsid w:val="00A20A6B"/>
    <w:rsid w:val="00A20C5D"/>
    <w:rsid w:val="00A222CA"/>
    <w:rsid w:val="00A225E3"/>
    <w:rsid w:val="00A22E08"/>
    <w:rsid w:val="00A239CC"/>
    <w:rsid w:val="00A23BC2"/>
    <w:rsid w:val="00A24596"/>
    <w:rsid w:val="00A248C9"/>
    <w:rsid w:val="00A2591E"/>
    <w:rsid w:val="00A26F01"/>
    <w:rsid w:val="00A278D6"/>
    <w:rsid w:val="00A279AC"/>
    <w:rsid w:val="00A27A30"/>
    <w:rsid w:val="00A30C5D"/>
    <w:rsid w:val="00A310F1"/>
    <w:rsid w:val="00A31B0F"/>
    <w:rsid w:val="00A31C68"/>
    <w:rsid w:val="00A31FFF"/>
    <w:rsid w:val="00A325AE"/>
    <w:rsid w:val="00A326A6"/>
    <w:rsid w:val="00A3367E"/>
    <w:rsid w:val="00A342D9"/>
    <w:rsid w:val="00A353C9"/>
    <w:rsid w:val="00A35E30"/>
    <w:rsid w:val="00A35FAA"/>
    <w:rsid w:val="00A40163"/>
    <w:rsid w:val="00A409BC"/>
    <w:rsid w:val="00A40FC3"/>
    <w:rsid w:val="00A41596"/>
    <w:rsid w:val="00A41D36"/>
    <w:rsid w:val="00A41D7C"/>
    <w:rsid w:val="00A42F6D"/>
    <w:rsid w:val="00A43C9A"/>
    <w:rsid w:val="00A44199"/>
    <w:rsid w:val="00A44612"/>
    <w:rsid w:val="00A44720"/>
    <w:rsid w:val="00A449D0"/>
    <w:rsid w:val="00A4575C"/>
    <w:rsid w:val="00A45D11"/>
    <w:rsid w:val="00A46164"/>
    <w:rsid w:val="00A46A8E"/>
    <w:rsid w:val="00A47D45"/>
    <w:rsid w:val="00A50644"/>
    <w:rsid w:val="00A50B27"/>
    <w:rsid w:val="00A51337"/>
    <w:rsid w:val="00A5208C"/>
    <w:rsid w:val="00A522F4"/>
    <w:rsid w:val="00A537A9"/>
    <w:rsid w:val="00A537E5"/>
    <w:rsid w:val="00A53D69"/>
    <w:rsid w:val="00A540A5"/>
    <w:rsid w:val="00A54248"/>
    <w:rsid w:val="00A55B6F"/>
    <w:rsid w:val="00A56923"/>
    <w:rsid w:val="00A569DF"/>
    <w:rsid w:val="00A575BB"/>
    <w:rsid w:val="00A57934"/>
    <w:rsid w:val="00A61BD0"/>
    <w:rsid w:val="00A6283D"/>
    <w:rsid w:val="00A62C66"/>
    <w:rsid w:val="00A6388E"/>
    <w:rsid w:val="00A645B3"/>
    <w:rsid w:val="00A64661"/>
    <w:rsid w:val="00A64BC6"/>
    <w:rsid w:val="00A64FD7"/>
    <w:rsid w:val="00A6542F"/>
    <w:rsid w:val="00A659CB"/>
    <w:rsid w:val="00A70398"/>
    <w:rsid w:val="00A709AD"/>
    <w:rsid w:val="00A70D03"/>
    <w:rsid w:val="00A71441"/>
    <w:rsid w:val="00A721F1"/>
    <w:rsid w:val="00A72DA9"/>
    <w:rsid w:val="00A733CB"/>
    <w:rsid w:val="00A73465"/>
    <w:rsid w:val="00A739DF"/>
    <w:rsid w:val="00A740A0"/>
    <w:rsid w:val="00A745EF"/>
    <w:rsid w:val="00A75108"/>
    <w:rsid w:val="00A751AD"/>
    <w:rsid w:val="00A76045"/>
    <w:rsid w:val="00A76259"/>
    <w:rsid w:val="00A7675B"/>
    <w:rsid w:val="00A76CC8"/>
    <w:rsid w:val="00A773CD"/>
    <w:rsid w:val="00A775CF"/>
    <w:rsid w:val="00A77853"/>
    <w:rsid w:val="00A77FAF"/>
    <w:rsid w:val="00A805EB"/>
    <w:rsid w:val="00A80C87"/>
    <w:rsid w:val="00A813E1"/>
    <w:rsid w:val="00A81AFE"/>
    <w:rsid w:val="00A81EED"/>
    <w:rsid w:val="00A82971"/>
    <w:rsid w:val="00A84503"/>
    <w:rsid w:val="00A84C18"/>
    <w:rsid w:val="00A851D0"/>
    <w:rsid w:val="00A85DBF"/>
    <w:rsid w:val="00A86218"/>
    <w:rsid w:val="00A867DA"/>
    <w:rsid w:val="00A8782F"/>
    <w:rsid w:val="00A9077B"/>
    <w:rsid w:val="00A9167D"/>
    <w:rsid w:val="00A91895"/>
    <w:rsid w:val="00A92911"/>
    <w:rsid w:val="00A92D25"/>
    <w:rsid w:val="00A93B0D"/>
    <w:rsid w:val="00A9401F"/>
    <w:rsid w:val="00A94689"/>
    <w:rsid w:val="00A94801"/>
    <w:rsid w:val="00A94DDB"/>
    <w:rsid w:val="00A94F82"/>
    <w:rsid w:val="00A950A1"/>
    <w:rsid w:val="00A962FA"/>
    <w:rsid w:val="00A965CD"/>
    <w:rsid w:val="00A96970"/>
    <w:rsid w:val="00A97BB0"/>
    <w:rsid w:val="00AA0B5F"/>
    <w:rsid w:val="00AA1BEC"/>
    <w:rsid w:val="00AA24D8"/>
    <w:rsid w:val="00AA27AA"/>
    <w:rsid w:val="00AA2DF3"/>
    <w:rsid w:val="00AA3062"/>
    <w:rsid w:val="00AA3EBF"/>
    <w:rsid w:val="00AA4761"/>
    <w:rsid w:val="00AA50BC"/>
    <w:rsid w:val="00AA54F2"/>
    <w:rsid w:val="00AA6A77"/>
    <w:rsid w:val="00AA6AA8"/>
    <w:rsid w:val="00AA6AE4"/>
    <w:rsid w:val="00AA78AD"/>
    <w:rsid w:val="00AB1F63"/>
    <w:rsid w:val="00AB22B4"/>
    <w:rsid w:val="00AB24E7"/>
    <w:rsid w:val="00AB3237"/>
    <w:rsid w:val="00AB3917"/>
    <w:rsid w:val="00AB3A2D"/>
    <w:rsid w:val="00AB4AC8"/>
    <w:rsid w:val="00AB4DE2"/>
    <w:rsid w:val="00AB4FBC"/>
    <w:rsid w:val="00AB5E21"/>
    <w:rsid w:val="00AB6AD4"/>
    <w:rsid w:val="00AB75AE"/>
    <w:rsid w:val="00AB76EC"/>
    <w:rsid w:val="00AB7781"/>
    <w:rsid w:val="00AB783A"/>
    <w:rsid w:val="00AB7933"/>
    <w:rsid w:val="00AB7947"/>
    <w:rsid w:val="00AC13C9"/>
    <w:rsid w:val="00AC19E2"/>
    <w:rsid w:val="00AC3071"/>
    <w:rsid w:val="00AC3A08"/>
    <w:rsid w:val="00AC3D18"/>
    <w:rsid w:val="00AC5598"/>
    <w:rsid w:val="00AC583A"/>
    <w:rsid w:val="00AC5945"/>
    <w:rsid w:val="00AC6213"/>
    <w:rsid w:val="00AC6332"/>
    <w:rsid w:val="00AC7E52"/>
    <w:rsid w:val="00AD0C2E"/>
    <w:rsid w:val="00AD10CF"/>
    <w:rsid w:val="00AD1701"/>
    <w:rsid w:val="00AD245C"/>
    <w:rsid w:val="00AD2FC0"/>
    <w:rsid w:val="00AD3581"/>
    <w:rsid w:val="00AD35EA"/>
    <w:rsid w:val="00AD3BC7"/>
    <w:rsid w:val="00AD42E2"/>
    <w:rsid w:val="00AD4967"/>
    <w:rsid w:val="00AD562E"/>
    <w:rsid w:val="00AD5B1B"/>
    <w:rsid w:val="00AD66BE"/>
    <w:rsid w:val="00AD6BE5"/>
    <w:rsid w:val="00AD6DB9"/>
    <w:rsid w:val="00AE12A9"/>
    <w:rsid w:val="00AE1A2A"/>
    <w:rsid w:val="00AE2459"/>
    <w:rsid w:val="00AE29C2"/>
    <w:rsid w:val="00AE3D23"/>
    <w:rsid w:val="00AE42F1"/>
    <w:rsid w:val="00AE472E"/>
    <w:rsid w:val="00AE4CEC"/>
    <w:rsid w:val="00AE4EC8"/>
    <w:rsid w:val="00AE517C"/>
    <w:rsid w:val="00AE520F"/>
    <w:rsid w:val="00AE599E"/>
    <w:rsid w:val="00AE59F5"/>
    <w:rsid w:val="00AE5C25"/>
    <w:rsid w:val="00AE5D9F"/>
    <w:rsid w:val="00AE5F15"/>
    <w:rsid w:val="00AE61C0"/>
    <w:rsid w:val="00AE7193"/>
    <w:rsid w:val="00AE72C2"/>
    <w:rsid w:val="00AE76C9"/>
    <w:rsid w:val="00AF00B2"/>
    <w:rsid w:val="00AF06B4"/>
    <w:rsid w:val="00AF0C7E"/>
    <w:rsid w:val="00AF0E41"/>
    <w:rsid w:val="00AF0EB2"/>
    <w:rsid w:val="00AF213C"/>
    <w:rsid w:val="00AF2791"/>
    <w:rsid w:val="00AF2EF5"/>
    <w:rsid w:val="00AF3117"/>
    <w:rsid w:val="00AF326B"/>
    <w:rsid w:val="00AF32F0"/>
    <w:rsid w:val="00AF3811"/>
    <w:rsid w:val="00AF39C1"/>
    <w:rsid w:val="00AF418D"/>
    <w:rsid w:val="00AF4723"/>
    <w:rsid w:val="00AF560E"/>
    <w:rsid w:val="00AF6220"/>
    <w:rsid w:val="00AF70EE"/>
    <w:rsid w:val="00AF7618"/>
    <w:rsid w:val="00B003A1"/>
    <w:rsid w:val="00B00449"/>
    <w:rsid w:val="00B00AFE"/>
    <w:rsid w:val="00B00B01"/>
    <w:rsid w:val="00B00CE0"/>
    <w:rsid w:val="00B01538"/>
    <w:rsid w:val="00B01F1F"/>
    <w:rsid w:val="00B024C2"/>
    <w:rsid w:val="00B03653"/>
    <w:rsid w:val="00B04028"/>
    <w:rsid w:val="00B04550"/>
    <w:rsid w:val="00B045DE"/>
    <w:rsid w:val="00B04964"/>
    <w:rsid w:val="00B04CBD"/>
    <w:rsid w:val="00B05C96"/>
    <w:rsid w:val="00B061B9"/>
    <w:rsid w:val="00B067C0"/>
    <w:rsid w:val="00B06D88"/>
    <w:rsid w:val="00B07840"/>
    <w:rsid w:val="00B1013C"/>
    <w:rsid w:val="00B10605"/>
    <w:rsid w:val="00B10835"/>
    <w:rsid w:val="00B10F95"/>
    <w:rsid w:val="00B11B0A"/>
    <w:rsid w:val="00B11D09"/>
    <w:rsid w:val="00B12331"/>
    <w:rsid w:val="00B124AD"/>
    <w:rsid w:val="00B12BEE"/>
    <w:rsid w:val="00B12DAB"/>
    <w:rsid w:val="00B137BD"/>
    <w:rsid w:val="00B154B3"/>
    <w:rsid w:val="00B15870"/>
    <w:rsid w:val="00B15B71"/>
    <w:rsid w:val="00B16085"/>
    <w:rsid w:val="00B166C6"/>
    <w:rsid w:val="00B1713D"/>
    <w:rsid w:val="00B173B0"/>
    <w:rsid w:val="00B21941"/>
    <w:rsid w:val="00B21EB4"/>
    <w:rsid w:val="00B22A5B"/>
    <w:rsid w:val="00B23684"/>
    <w:rsid w:val="00B23804"/>
    <w:rsid w:val="00B24C6E"/>
    <w:rsid w:val="00B24D6F"/>
    <w:rsid w:val="00B254F0"/>
    <w:rsid w:val="00B26286"/>
    <w:rsid w:val="00B2691D"/>
    <w:rsid w:val="00B26C44"/>
    <w:rsid w:val="00B27820"/>
    <w:rsid w:val="00B27BD3"/>
    <w:rsid w:val="00B27E1F"/>
    <w:rsid w:val="00B306EA"/>
    <w:rsid w:val="00B30944"/>
    <w:rsid w:val="00B3104B"/>
    <w:rsid w:val="00B329BE"/>
    <w:rsid w:val="00B32AAC"/>
    <w:rsid w:val="00B33E2E"/>
    <w:rsid w:val="00B33F4D"/>
    <w:rsid w:val="00B3492F"/>
    <w:rsid w:val="00B36CA1"/>
    <w:rsid w:val="00B36CFC"/>
    <w:rsid w:val="00B37148"/>
    <w:rsid w:val="00B37AFC"/>
    <w:rsid w:val="00B4059E"/>
    <w:rsid w:val="00B4084B"/>
    <w:rsid w:val="00B40945"/>
    <w:rsid w:val="00B41232"/>
    <w:rsid w:val="00B41E57"/>
    <w:rsid w:val="00B422E3"/>
    <w:rsid w:val="00B42B56"/>
    <w:rsid w:val="00B45069"/>
    <w:rsid w:val="00B45864"/>
    <w:rsid w:val="00B45DCA"/>
    <w:rsid w:val="00B460B5"/>
    <w:rsid w:val="00B47998"/>
    <w:rsid w:val="00B47F08"/>
    <w:rsid w:val="00B47F4C"/>
    <w:rsid w:val="00B50032"/>
    <w:rsid w:val="00B50958"/>
    <w:rsid w:val="00B511C3"/>
    <w:rsid w:val="00B51526"/>
    <w:rsid w:val="00B51934"/>
    <w:rsid w:val="00B519D3"/>
    <w:rsid w:val="00B53F29"/>
    <w:rsid w:val="00B55843"/>
    <w:rsid w:val="00B567D8"/>
    <w:rsid w:val="00B57D40"/>
    <w:rsid w:val="00B6098C"/>
    <w:rsid w:val="00B60F6F"/>
    <w:rsid w:val="00B61A52"/>
    <w:rsid w:val="00B61B20"/>
    <w:rsid w:val="00B61CAD"/>
    <w:rsid w:val="00B61DBA"/>
    <w:rsid w:val="00B6230B"/>
    <w:rsid w:val="00B628E8"/>
    <w:rsid w:val="00B63906"/>
    <w:rsid w:val="00B63C3C"/>
    <w:rsid w:val="00B63F3F"/>
    <w:rsid w:val="00B645B6"/>
    <w:rsid w:val="00B64DE4"/>
    <w:rsid w:val="00B652B5"/>
    <w:rsid w:val="00B65561"/>
    <w:rsid w:val="00B658B4"/>
    <w:rsid w:val="00B664E5"/>
    <w:rsid w:val="00B676B8"/>
    <w:rsid w:val="00B70250"/>
    <w:rsid w:val="00B7050C"/>
    <w:rsid w:val="00B70C9E"/>
    <w:rsid w:val="00B70F85"/>
    <w:rsid w:val="00B71222"/>
    <w:rsid w:val="00B7174A"/>
    <w:rsid w:val="00B72DC7"/>
    <w:rsid w:val="00B7358B"/>
    <w:rsid w:val="00B7388C"/>
    <w:rsid w:val="00B73E0D"/>
    <w:rsid w:val="00B7521F"/>
    <w:rsid w:val="00B830A1"/>
    <w:rsid w:val="00B83160"/>
    <w:rsid w:val="00B8365B"/>
    <w:rsid w:val="00B83705"/>
    <w:rsid w:val="00B83B20"/>
    <w:rsid w:val="00B83CA0"/>
    <w:rsid w:val="00B84243"/>
    <w:rsid w:val="00B85144"/>
    <w:rsid w:val="00B85C34"/>
    <w:rsid w:val="00B85FB6"/>
    <w:rsid w:val="00B86CCD"/>
    <w:rsid w:val="00B86FC8"/>
    <w:rsid w:val="00B876C0"/>
    <w:rsid w:val="00B87806"/>
    <w:rsid w:val="00B87FF5"/>
    <w:rsid w:val="00B918C1"/>
    <w:rsid w:val="00B9214C"/>
    <w:rsid w:val="00B922EE"/>
    <w:rsid w:val="00B92407"/>
    <w:rsid w:val="00B92B09"/>
    <w:rsid w:val="00B93884"/>
    <w:rsid w:val="00B93D53"/>
    <w:rsid w:val="00B94405"/>
    <w:rsid w:val="00B94A65"/>
    <w:rsid w:val="00B94ADF"/>
    <w:rsid w:val="00B94D1A"/>
    <w:rsid w:val="00B94FB4"/>
    <w:rsid w:val="00B95D2D"/>
    <w:rsid w:val="00B9607C"/>
    <w:rsid w:val="00B9631B"/>
    <w:rsid w:val="00B9676C"/>
    <w:rsid w:val="00B97755"/>
    <w:rsid w:val="00BA0510"/>
    <w:rsid w:val="00BA0966"/>
    <w:rsid w:val="00BA0F2F"/>
    <w:rsid w:val="00BA101F"/>
    <w:rsid w:val="00BA28F3"/>
    <w:rsid w:val="00BA379F"/>
    <w:rsid w:val="00BA511D"/>
    <w:rsid w:val="00BA5353"/>
    <w:rsid w:val="00BA6777"/>
    <w:rsid w:val="00BA67C1"/>
    <w:rsid w:val="00BB029D"/>
    <w:rsid w:val="00BB224B"/>
    <w:rsid w:val="00BB2338"/>
    <w:rsid w:val="00BB2A98"/>
    <w:rsid w:val="00BB3169"/>
    <w:rsid w:val="00BB3AB5"/>
    <w:rsid w:val="00BB3D68"/>
    <w:rsid w:val="00BB3DA8"/>
    <w:rsid w:val="00BB498B"/>
    <w:rsid w:val="00BB5A84"/>
    <w:rsid w:val="00BB69E4"/>
    <w:rsid w:val="00BB6D23"/>
    <w:rsid w:val="00BB721D"/>
    <w:rsid w:val="00BB7455"/>
    <w:rsid w:val="00BC1185"/>
    <w:rsid w:val="00BC12C2"/>
    <w:rsid w:val="00BC1E22"/>
    <w:rsid w:val="00BC2C65"/>
    <w:rsid w:val="00BC3472"/>
    <w:rsid w:val="00BC3CAB"/>
    <w:rsid w:val="00BC3F11"/>
    <w:rsid w:val="00BC42CE"/>
    <w:rsid w:val="00BC6702"/>
    <w:rsid w:val="00BC76B4"/>
    <w:rsid w:val="00BC7BB9"/>
    <w:rsid w:val="00BD010B"/>
    <w:rsid w:val="00BD08A2"/>
    <w:rsid w:val="00BD210E"/>
    <w:rsid w:val="00BD252D"/>
    <w:rsid w:val="00BD269D"/>
    <w:rsid w:val="00BD2CB2"/>
    <w:rsid w:val="00BD325F"/>
    <w:rsid w:val="00BD34C3"/>
    <w:rsid w:val="00BD40CB"/>
    <w:rsid w:val="00BD46BB"/>
    <w:rsid w:val="00BD4954"/>
    <w:rsid w:val="00BD5072"/>
    <w:rsid w:val="00BD6B01"/>
    <w:rsid w:val="00BD78D5"/>
    <w:rsid w:val="00BE0659"/>
    <w:rsid w:val="00BE0A68"/>
    <w:rsid w:val="00BE1843"/>
    <w:rsid w:val="00BE34DD"/>
    <w:rsid w:val="00BE537C"/>
    <w:rsid w:val="00BE65D0"/>
    <w:rsid w:val="00BE6D85"/>
    <w:rsid w:val="00BE6EB6"/>
    <w:rsid w:val="00BE70B3"/>
    <w:rsid w:val="00BE7D58"/>
    <w:rsid w:val="00BF0270"/>
    <w:rsid w:val="00BF0E14"/>
    <w:rsid w:val="00BF164E"/>
    <w:rsid w:val="00BF1A33"/>
    <w:rsid w:val="00BF23C3"/>
    <w:rsid w:val="00BF2B69"/>
    <w:rsid w:val="00BF2D94"/>
    <w:rsid w:val="00BF3D35"/>
    <w:rsid w:val="00BF4171"/>
    <w:rsid w:val="00BF48DF"/>
    <w:rsid w:val="00BF4954"/>
    <w:rsid w:val="00BF49EE"/>
    <w:rsid w:val="00BF6D42"/>
    <w:rsid w:val="00BF7128"/>
    <w:rsid w:val="00BF7ED9"/>
    <w:rsid w:val="00C00AA5"/>
    <w:rsid w:val="00C00B3B"/>
    <w:rsid w:val="00C01B28"/>
    <w:rsid w:val="00C02450"/>
    <w:rsid w:val="00C03070"/>
    <w:rsid w:val="00C038D0"/>
    <w:rsid w:val="00C04258"/>
    <w:rsid w:val="00C04D63"/>
    <w:rsid w:val="00C05DFB"/>
    <w:rsid w:val="00C066AF"/>
    <w:rsid w:val="00C06CE4"/>
    <w:rsid w:val="00C07C61"/>
    <w:rsid w:val="00C07DEC"/>
    <w:rsid w:val="00C07F1C"/>
    <w:rsid w:val="00C07F5C"/>
    <w:rsid w:val="00C1005F"/>
    <w:rsid w:val="00C107D2"/>
    <w:rsid w:val="00C10FDC"/>
    <w:rsid w:val="00C11CE3"/>
    <w:rsid w:val="00C11D68"/>
    <w:rsid w:val="00C11F05"/>
    <w:rsid w:val="00C11F2F"/>
    <w:rsid w:val="00C12C6D"/>
    <w:rsid w:val="00C12D0A"/>
    <w:rsid w:val="00C1339B"/>
    <w:rsid w:val="00C13681"/>
    <w:rsid w:val="00C13D80"/>
    <w:rsid w:val="00C13DA0"/>
    <w:rsid w:val="00C15DEF"/>
    <w:rsid w:val="00C163B7"/>
    <w:rsid w:val="00C17B32"/>
    <w:rsid w:val="00C20E76"/>
    <w:rsid w:val="00C21D66"/>
    <w:rsid w:val="00C21E9B"/>
    <w:rsid w:val="00C23647"/>
    <w:rsid w:val="00C2476F"/>
    <w:rsid w:val="00C24BB1"/>
    <w:rsid w:val="00C2641F"/>
    <w:rsid w:val="00C270C6"/>
    <w:rsid w:val="00C276B1"/>
    <w:rsid w:val="00C3009E"/>
    <w:rsid w:val="00C31C6D"/>
    <w:rsid w:val="00C31E81"/>
    <w:rsid w:val="00C3239B"/>
    <w:rsid w:val="00C3249E"/>
    <w:rsid w:val="00C3303C"/>
    <w:rsid w:val="00C3324A"/>
    <w:rsid w:val="00C342CD"/>
    <w:rsid w:val="00C34390"/>
    <w:rsid w:val="00C34C59"/>
    <w:rsid w:val="00C359BA"/>
    <w:rsid w:val="00C35A22"/>
    <w:rsid w:val="00C36775"/>
    <w:rsid w:val="00C3754B"/>
    <w:rsid w:val="00C37BFF"/>
    <w:rsid w:val="00C40689"/>
    <w:rsid w:val="00C41058"/>
    <w:rsid w:val="00C41D55"/>
    <w:rsid w:val="00C42089"/>
    <w:rsid w:val="00C428E6"/>
    <w:rsid w:val="00C42D37"/>
    <w:rsid w:val="00C431A3"/>
    <w:rsid w:val="00C431FB"/>
    <w:rsid w:val="00C43DF8"/>
    <w:rsid w:val="00C43E5A"/>
    <w:rsid w:val="00C44A7A"/>
    <w:rsid w:val="00C44BE3"/>
    <w:rsid w:val="00C44C1D"/>
    <w:rsid w:val="00C450A9"/>
    <w:rsid w:val="00C45903"/>
    <w:rsid w:val="00C46399"/>
    <w:rsid w:val="00C46D0E"/>
    <w:rsid w:val="00C5005C"/>
    <w:rsid w:val="00C5268B"/>
    <w:rsid w:val="00C5338C"/>
    <w:rsid w:val="00C53DB9"/>
    <w:rsid w:val="00C53EF2"/>
    <w:rsid w:val="00C55846"/>
    <w:rsid w:val="00C61294"/>
    <w:rsid w:val="00C61EA2"/>
    <w:rsid w:val="00C6305B"/>
    <w:rsid w:val="00C6308F"/>
    <w:rsid w:val="00C63109"/>
    <w:rsid w:val="00C63C1F"/>
    <w:rsid w:val="00C63ED7"/>
    <w:rsid w:val="00C6430C"/>
    <w:rsid w:val="00C64D15"/>
    <w:rsid w:val="00C651E4"/>
    <w:rsid w:val="00C65397"/>
    <w:rsid w:val="00C66319"/>
    <w:rsid w:val="00C679D0"/>
    <w:rsid w:val="00C67DA1"/>
    <w:rsid w:val="00C705DA"/>
    <w:rsid w:val="00C70F0A"/>
    <w:rsid w:val="00C715F0"/>
    <w:rsid w:val="00C7243B"/>
    <w:rsid w:val="00C7356F"/>
    <w:rsid w:val="00C74126"/>
    <w:rsid w:val="00C74AA6"/>
    <w:rsid w:val="00C74C39"/>
    <w:rsid w:val="00C74DA9"/>
    <w:rsid w:val="00C74E8D"/>
    <w:rsid w:val="00C75249"/>
    <w:rsid w:val="00C753BA"/>
    <w:rsid w:val="00C75B76"/>
    <w:rsid w:val="00C7638D"/>
    <w:rsid w:val="00C763EA"/>
    <w:rsid w:val="00C76AFA"/>
    <w:rsid w:val="00C77417"/>
    <w:rsid w:val="00C8049D"/>
    <w:rsid w:val="00C81FF6"/>
    <w:rsid w:val="00C82572"/>
    <w:rsid w:val="00C830A9"/>
    <w:rsid w:val="00C833D0"/>
    <w:rsid w:val="00C8458A"/>
    <w:rsid w:val="00C854F5"/>
    <w:rsid w:val="00C85E77"/>
    <w:rsid w:val="00C8668E"/>
    <w:rsid w:val="00C86988"/>
    <w:rsid w:val="00C86D90"/>
    <w:rsid w:val="00C872C5"/>
    <w:rsid w:val="00C8748F"/>
    <w:rsid w:val="00C8755F"/>
    <w:rsid w:val="00C87FB8"/>
    <w:rsid w:val="00C91139"/>
    <w:rsid w:val="00C91347"/>
    <w:rsid w:val="00C91CF4"/>
    <w:rsid w:val="00C91DBD"/>
    <w:rsid w:val="00C92123"/>
    <w:rsid w:val="00C92732"/>
    <w:rsid w:val="00C946DC"/>
    <w:rsid w:val="00C95596"/>
    <w:rsid w:val="00C956A1"/>
    <w:rsid w:val="00C95850"/>
    <w:rsid w:val="00C95B85"/>
    <w:rsid w:val="00C96647"/>
    <w:rsid w:val="00C97093"/>
    <w:rsid w:val="00C97258"/>
    <w:rsid w:val="00C97362"/>
    <w:rsid w:val="00C978F2"/>
    <w:rsid w:val="00C97F24"/>
    <w:rsid w:val="00C97F3F"/>
    <w:rsid w:val="00CA07F9"/>
    <w:rsid w:val="00CA0977"/>
    <w:rsid w:val="00CA0B5E"/>
    <w:rsid w:val="00CA0F4F"/>
    <w:rsid w:val="00CA15D7"/>
    <w:rsid w:val="00CA2F21"/>
    <w:rsid w:val="00CA3214"/>
    <w:rsid w:val="00CA332A"/>
    <w:rsid w:val="00CA3E1F"/>
    <w:rsid w:val="00CA450E"/>
    <w:rsid w:val="00CA475B"/>
    <w:rsid w:val="00CA47FB"/>
    <w:rsid w:val="00CA4819"/>
    <w:rsid w:val="00CA49A3"/>
    <w:rsid w:val="00CA49D9"/>
    <w:rsid w:val="00CA600B"/>
    <w:rsid w:val="00CA7096"/>
    <w:rsid w:val="00CA709C"/>
    <w:rsid w:val="00CA72DA"/>
    <w:rsid w:val="00CA7E96"/>
    <w:rsid w:val="00CB1DC3"/>
    <w:rsid w:val="00CB1F59"/>
    <w:rsid w:val="00CB20E7"/>
    <w:rsid w:val="00CB24E8"/>
    <w:rsid w:val="00CB2844"/>
    <w:rsid w:val="00CB2B77"/>
    <w:rsid w:val="00CB4589"/>
    <w:rsid w:val="00CB54F0"/>
    <w:rsid w:val="00CB60C9"/>
    <w:rsid w:val="00CB62C0"/>
    <w:rsid w:val="00CB6D24"/>
    <w:rsid w:val="00CB6DC8"/>
    <w:rsid w:val="00CB795F"/>
    <w:rsid w:val="00CC0486"/>
    <w:rsid w:val="00CC0B67"/>
    <w:rsid w:val="00CC0D15"/>
    <w:rsid w:val="00CC12AE"/>
    <w:rsid w:val="00CC1BBB"/>
    <w:rsid w:val="00CC2A06"/>
    <w:rsid w:val="00CC36A5"/>
    <w:rsid w:val="00CC39CD"/>
    <w:rsid w:val="00CC47E4"/>
    <w:rsid w:val="00CC4867"/>
    <w:rsid w:val="00CC5AB0"/>
    <w:rsid w:val="00CC6371"/>
    <w:rsid w:val="00CC645A"/>
    <w:rsid w:val="00CC6AFF"/>
    <w:rsid w:val="00CC6F4E"/>
    <w:rsid w:val="00CC7D83"/>
    <w:rsid w:val="00CC7ED8"/>
    <w:rsid w:val="00CC7F08"/>
    <w:rsid w:val="00CC7F87"/>
    <w:rsid w:val="00CD042F"/>
    <w:rsid w:val="00CD11A3"/>
    <w:rsid w:val="00CD12CE"/>
    <w:rsid w:val="00CD1BF3"/>
    <w:rsid w:val="00CD235B"/>
    <w:rsid w:val="00CD2835"/>
    <w:rsid w:val="00CD3382"/>
    <w:rsid w:val="00CD4107"/>
    <w:rsid w:val="00CD6D33"/>
    <w:rsid w:val="00CD73E4"/>
    <w:rsid w:val="00CD73EB"/>
    <w:rsid w:val="00CD7667"/>
    <w:rsid w:val="00CE0085"/>
    <w:rsid w:val="00CE0472"/>
    <w:rsid w:val="00CE072C"/>
    <w:rsid w:val="00CE098C"/>
    <w:rsid w:val="00CE179F"/>
    <w:rsid w:val="00CE2B6C"/>
    <w:rsid w:val="00CE2C1A"/>
    <w:rsid w:val="00CE3F53"/>
    <w:rsid w:val="00CE4134"/>
    <w:rsid w:val="00CE4D05"/>
    <w:rsid w:val="00CE558E"/>
    <w:rsid w:val="00CE5774"/>
    <w:rsid w:val="00CE5AB0"/>
    <w:rsid w:val="00CE7933"/>
    <w:rsid w:val="00CF0862"/>
    <w:rsid w:val="00CF0F6D"/>
    <w:rsid w:val="00CF164C"/>
    <w:rsid w:val="00CF1A99"/>
    <w:rsid w:val="00CF20F6"/>
    <w:rsid w:val="00CF2C6F"/>
    <w:rsid w:val="00CF2CF1"/>
    <w:rsid w:val="00CF31DA"/>
    <w:rsid w:val="00CF32F9"/>
    <w:rsid w:val="00CF4131"/>
    <w:rsid w:val="00CF5085"/>
    <w:rsid w:val="00CF5BC2"/>
    <w:rsid w:val="00CF5FDC"/>
    <w:rsid w:val="00CF6AF2"/>
    <w:rsid w:val="00D00382"/>
    <w:rsid w:val="00D0086A"/>
    <w:rsid w:val="00D02C8E"/>
    <w:rsid w:val="00D02EF1"/>
    <w:rsid w:val="00D05719"/>
    <w:rsid w:val="00D058A2"/>
    <w:rsid w:val="00D06688"/>
    <w:rsid w:val="00D06CAE"/>
    <w:rsid w:val="00D0735A"/>
    <w:rsid w:val="00D0743E"/>
    <w:rsid w:val="00D07A8D"/>
    <w:rsid w:val="00D07F00"/>
    <w:rsid w:val="00D1024D"/>
    <w:rsid w:val="00D11F5B"/>
    <w:rsid w:val="00D120BF"/>
    <w:rsid w:val="00D12853"/>
    <w:rsid w:val="00D13FF9"/>
    <w:rsid w:val="00D14131"/>
    <w:rsid w:val="00D143EC"/>
    <w:rsid w:val="00D14468"/>
    <w:rsid w:val="00D1469B"/>
    <w:rsid w:val="00D15792"/>
    <w:rsid w:val="00D15F79"/>
    <w:rsid w:val="00D16036"/>
    <w:rsid w:val="00D16547"/>
    <w:rsid w:val="00D1741D"/>
    <w:rsid w:val="00D174C3"/>
    <w:rsid w:val="00D17769"/>
    <w:rsid w:val="00D17D15"/>
    <w:rsid w:val="00D17E55"/>
    <w:rsid w:val="00D2179B"/>
    <w:rsid w:val="00D21F46"/>
    <w:rsid w:val="00D22425"/>
    <w:rsid w:val="00D22699"/>
    <w:rsid w:val="00D22726"/>
    <w:rsid w:val="00D22E26"/>
    <w:rsid w:val="00D2316C"/>
    <w:rsid w:val="00D232B7"/>
    <w:rsid w:val="00D23531"/>
    <w:rsid w:val="00D237EF"/>
    <w:rsid w:val="00D24D0C"/>
    <w:rsid w:val="00D24FF4"/>
    <w:rsid w:val="00D25F3E"/>
    <w:rsid w:val="00D26573"/>
    <w:rsid w:val="00D27849"/>
    <w:rsid w:val="00D30A84"/>
    <w:rsid w:val="00D30CBA"/>
    <w:rsid w:val="00D3146B"/>
    <w:rsid w:val="00D31ACA"/>
    <w:rsid w:val="00D323B5"/>
    <w:rsid w:val="00D327B7"/>
    <w:rsid w:val="00D32EC8"/>
    <w:rsid w:val="00D34371"/>
    <w:rsid w:val="00D345A3"/>
    <w:rsid w:val="00D355E7"/>
    <w:rsid w:val="00D3564F"/>
    <w:rsid w:val="00D36333"/>
    <w:rsid w:val="00D37A7B"/>
    <w:rsid w:val="00D37C36"/>
    <w:rsid w:val="00D4108B"/>
    <w:rsid w:val="00D415E7"/>
    <w:rsid w:val="00D4187B"/>
    <w:rsid w:val="00D422A8"/>
    <w:rsid w:val="00D4263C"/>
    <w:rsid w:val="00D428B3"/>
    <w:rsid w:val="00D42A7C"/>
    <w:rsid w:val="00D43067"/>
    <w:rsid w:val="00D43E58"/>
    <w:rsid w:val="00D44150"/>
    <w:rsid w:val="00D44D21"/>
    <w:rsid w:val="00D456C4"/>
    <w:rsid w:val="00D459CF"/>
    <w:rsid w:val="00D46A7B"/>
    <w:rsid w:val="00D46D74"/>
    <w:rsid w:val="00D4769B"/>
    <w:rsid w:val="00D477EA"/>
    <w:rsid w:val="00D5073A"/>
    <w:rsid w:val="00D50C9B"/>
    <w:rsid w:val="00D52088"/>
    <w:rsid w:val="00D53CDD"/>
    <w:rsid w:val="00D549BF"/>
    <w:rsid w:val="00D551E1"/>
    <w:rsid w:val="00D5562C"/>
    <w:rsid w:val="00D55763"/>
    <w:rsid w:val="00D5708A"/>
    <w:rsid w:val="00D576B5"/>
    <w:rsid w:val="00D57849"/>
    <w:rsid w:val="00D579C5"/>
    <w:rsid w:val="00D57EC4"/>
    <w:rsid w:val="00D60439"/>
    <w:rsid w:val="00D606C2"/>
    <w:rsid w:val="00D6199A"/>
    <w:rsid w:val="00D62AB4"/>
    <w:rsid w:val="00D634BA"/>
    <w:rsid w:val="00D6661E"/>
    <w:rsid w:val="00D66774"/>
    <w:rsid w:val="00D6714F"/>
    <w:rsid w:val="00D70BF5"/>
    <w:rsid w:val="00D70EB2"/>
    <w:rsid w:val="00D715EF"/>
    <w:rsid w:val="00D717B1"/>
    <w:rsid w:val="00D720BB"/>
    <w:rsid w:val="00D729FE"/>
    <w:rsid w:val="00D72FF1"/>
    <w:rsid w:val="00D747DD"/>
    <w:rsid w:val="00D75924"/>
    <w:rsid w:val="00D75DD0"/>
    <w:rsid w:val="00D7602E"/>
    <w:rsid w:val="00D76996"/>
    <w:rsid w:val="00D77C45"/>
    <w:rsid w:val="00D81071"/>
    <w:rsid w:val="00D821E0"/>
    <w:rsid w:val="00D82879"/>
    <w:rsid w:val="00D82B12"/>
    <w:rsid w:val="00D835A8"/>
    <w:rsid w:val="00D83B82"/>
    <w:rsid w:val="00D84CD5"/>
    <w:rsid w:val="00D85D3F"/>
    <w:rsid w:val="00D86F21"/>
    <w:rsid w:val="00D86FFD"/>
    <w:rsid w:val="00D87479"/>
    <w:rsid w:val="00D876DF"/>
    <w:rsid w:val="00D9150D"/>
    <w:rsid w:val="00D9207E"/>
    <w:rsid w:val="00D92B42"/>
    <w:rsid w:val="00D93254"/>
    <w:rsid w:val="00D93ED9"/>
    <w:rsid w:val="00D952A8"/>
    <w:rsid w:val="00D961F2"/>
    <w:rsid w:val="00D97607"/>
    <w:rsid w:val="00D97687"/>
    <w:rsid w:val="00D9775E"/>
    <w:rsid w:val="00D978B5"/>
    <w:rsid w:val="00DA023C"/>
    <w:rsid w:val="00DA03AC"/>
    <w:rsid w:val="00DA07A5"/>
    <w:rsid w:val="00DA1610"/>
    <w:rsid w:val="00DA196A"/>
    <w:rsid w:val="00DA1A11"/>
    <w:rsid w:val="00DA1BEF"/>
    <w:rsid w:val="00DA28A8"/>
    <w:rsid w:val="00DA2C5F"/>
    <w:rsid w:val="00DA3143"/>
    <w:rsid w:val="00DA478E"/>
    <w:rsid w:val="00DA4EAE"/>
    <w:rsid w:val="00DA55D4"/>
    <w:rsid w:val="00DA6178"/>
    <w:rsid w:val="00DA6854"/>
    <w:rsid w:val="00DA6D4F"/>
    <w:rsid w:val="00DA6FB4"/>
    <w:rsid w:val="00DA7AC3"/>
    <w:rsid w:val="00DA7B65"/>
    <w:rsid w:val="00DB08BF"/>
    <w:rsid w:val="00DB10A8"/>
    <w:rsid w:val="00DB22B0"/>
    <w:rsid w:val="00DB2D76"/>
    <w:rsid w:val="00DB457A"/>
    <w:rsid w:val="00DB4989"/>
    <w:rsid w:val="00DB4C98"/>
    <w:rsid w:val="00DB558D"/>
    <w:rsid w:val="00DB584E"/>
    <w:rsid w:val="00DB6511"/>
    <w:rsid w:val="00DB6695"/>
    <w:rsid w:val="00DB66CC"/>
    <w:rsid w:val="00DB69D9"/>
    <w:rsid w:val="00DB6A8D"/>
    <w:rsid w:val="00DC0612"/>
    <w:rsid w:val="00DC09B0"/>
    <w:rsid w:val="00DC16AF"/>
    <w:rsid w:val="00DC1ADC"/>
    <w:rsid w:val="00DC32EC"/>
    <w:rsid w:val="00DC4099"/>
    <w:rsid w:val="00DC4790"/>
    <w:rsid w:val="00DC47F5"/>
    <w:rsid w:val="00DC499F"/>
    <w:rsid w:val="00DC5069"/>
    <w:rsid w:val="00DC5752"/>
    <w:rsid w:val="00DC6737"/>
    <w:rsid w:val="00DC676C"/>
    <w:rsid w:val="00DC7000"/>
    <w:rsid w:val="00DD051E"/>
    <w:rsid w:val="00DD05B3"/>
    <w:rsid w:val="00DD0BA0"/>
    <w:rsid w:val="00DD1046"/>
    <w:rsid w:val="00DD53A9"/>
    <w:rsid w:val="00DD5856"/>
    <w:rsid w:val="00DD7B40"/>
    <w:rsid w:val="00DE03FF"/>
    <w:rsid w:val="00DE117E"/>
    <w:rsid w:val="00DE1278"/>
    <w:rsid w:val="00DE1987"/>
    <w:rsid w:val="00DE1EF9"/>
    <w:rsid w:val="00DE2A71"/>
    <w:rsid w:val="00DE2AC1"/>
    <w:rsid w:val="00DE36CF"/>
    <w:rsid w:val="00DE42BA"/>
    <w:rsid w:val="00DE48CC"/>
    <w:rsid w:val="00DE50C2"/>
    <w:rsid w:val="00DE566F"/>
    <w:rsid w:val="00DE5DF9"/>
    <w:rsid w:val="00DE5E0C"/>
    <w:rsid w:val="00DE5FED"/>
    <w:rsid w:val="00DE623A"/>
    <w:rsid w:val="00DE711B"/>
    <w:rsid w:val="00DF0728"/>
    <w:rsid w:val="00DF1ADC"/>
    <w:rsid w:val="00DF2249"/>
    <w:rsid w:val="00DF2347"/>
    <w:rsid w:val="00DF2C5D"/>
    <w:rsid w:val="00DF30D5"/>
    <w:rsid w:val="00DF363A"/>
    <w:rsid w:val="00DF4099"/>
    <w:rsid w:val="00DF4173"/>
    <w:rsid w:val="00DF4488"/>
    <w:rsid w:val="00DF52CD"/>
    <w:rsid w:val="00DF53E8"/>
    <w:rsid w:val="00DF61C8"/>
    <w:rsid w:val="00DF6323"/>
    <w:rsid w:val="00DF6B26"/>
    <w:rsid w:val="00DF744E"/>
    <w:rsid w:val="00DF7FF0"/>
    <w:rsid w:val="00E00167"/>
    <w:rsid w:val="00E00258"/>
    <w:rsid w:val="00E0068F"/>
    <w:rsid w:val="00E01AB3"/>
    <w:rsid w:val="00E01B7C"/>
    <w:rsid w:val="00E02E74"/>
    <w:rsid w:val="00E03CFF"/>
    <w:rsid w:val="00E054BA"/>
    <w:rsid w:val="00E05967"/>
    <w:rsid w:val="00E06F9F"/>
    <w:rsid w:val="00E1099E"/>
    <w:rsid w:val="00E10D3F"/>
    <w:rsid w:val="00E11279"/>
    <w:rsid w:val="00E1129E"/>
    <w:rsid w:val="00E120DB"/>
    <w:rsid w:val="00E12110"/>
    <w:rsid w:val="00E121DD"/>
    <w:rsid w:val="00E12264"/>
    <w:rsid w:val="00E15A7E"/>
    <w:rsid w:val="00E160CA"/>
    <w:rsid w:val="00E161F0"/>
    <w:rsid w:val="00E1675C"/>
    <w:rsid w:val="00E16977"/>
    <w:rsid w:val="00E16BE1"/>
    <w:rsid w:val="00E17DAB"/>
    <w:rsid w:val="00E20209"/>
    <w:rsid w:val="00E20628"/>
    <w:rsid w:val="00E2077B"/>
    <w:rsid w:val="00E2103B"/>
    <w:rsid w:val="00E213DA"/>
    <w:rsid w:val="00E21734"/>
    <w:rsid w:val="00E21852"/>
    <w:rsid w:val="00E222DF"/>
    <w:rsid w:val="00E223BE"/>
    <w:rsid w:val="00E2264A"/>
    <w:rsid w:val="00E22A07"/>
    <w:rsid w:val="00E22AB5"/>
    <w:rsid w:val="00E22FA5"/>
    <w:rsid w:val="00E235C3"/>
    <w:rsid w:val="00E239F6"/>
    <w:rsid w:val="00E253F7"/>
    <w:rsid w:val="00E26003"/>
    <w:rsid w:val="00E273FF"/>
    <w:rsid w:val="00E27B91"/>
    <w:rsid w:val="00E306E7"/>
    <w:rsid w:val="00E30868"/>
    <w:rsid w:val="00E3087C"/>
    <w:rsid w:val="00E30A17"/>
    <w:rsid w:val="00E30E1D"/>
    <w:rsid w:val="00E30FE2"/>
    <w:rsid w:val="00E335C8"/>
    <w:rsid w:val="00E359A2"/>
    <w:rsid w:val="00E3664F"/>
    <w:rsid w:val="00E36F77"/>
    <w:rsid w:val="00E37BA9"/>
    <w:rsid w:val="00E37C7C"/>
    <w:rsid w:val="00E37F9B"/>
    <w:rsid w:val="00E418E4"/>
    <w:rsid w:val="00E42411"/>
    <w:rsid w:val="00E42C8A"/>
    <w:rsid w:val="00E436F2"/>
    <w:rsid w:val="00E43965"/>
    <w:rsid w:val="00E43E3B"/>
    <w:rsid w:val="00E4452C"/>
    <w:rsid w:val="00E44FE2"/>
    <w:rsid w:val="00E4565B"/>
    <w:rsid w:val="00E4582E"/>
    <w:rsid w:val="00E46611"/>
    <w:rsid w:val="00E46AB8"/>
    <w:rsid w:val="00E46C76"/>
    <w:rsid w:val="00E473B3"/>
    <w:rsid w:val="00E479CE"/>
    <w:rsid w:val="00E50E8D"/>
    <w:rsid w:val="00E51F1C"/>
    <w:rsid w:val="00E538CD"/>
    <w:rsid w:val="00E53F1A"/>
    <w:rsid w:val="00E54185"/>
    <w:rsid w:val="00E5444F"/>
    <w:rsid w:val="00E54B32"/>
    <w:rsid w:val="00E54E5B"/>
    <w:rsid w:val="00E558F2"/>
    <w:rsid w:val="00E55ABA"/>
    <w:rsid w:val="00E55E56"/>
    <w:rsid w:val="00E5632A"/>
    <w:rsid w:val="00E5653C"/>
    <w:rsid w:val="00E57B18"/>
    <w:rsid w:val="00E57CA7"/>
    <w:rsid w:val="00E612A3"/>
    <w:rsid w:val="00E61C5E"/>
    <w:rsid w:val="00E61EB3"/>
    <w:rsid w:val="00E61EC0"/>
    <w:rsid w:val="00E6234A"/>
    <w:rsid w:val="00E62415"/>
    <w:rsid w:val="00E62B36"/>
    <w:rsid w:val="00E62C22"/>
    <w:rsid w:val="00E62DF5"/>
    <w:rsid w:val="00E63BDC"/>
    <w:rsid w:val="00E647C8"/>
    <w:rsid w:val="00E64A4E"/>
    <w:rsid w:val="00E64EFB"/>
    <w:rsid w:val="00E64FB4"/>
    <w:rsid w:val="00E65CF9"/>
    <w:rsid w:val="00E65EEB"/>
    <w:rsid w:val="00E67C82"/>
    <w:rsid w:val="00E702CE"/>
    <w:rsid w:val="00E70F0A"/>
    <w:rsid w:val="00E71844"/>
    <w:rsid w:val="00E731D7"/>
    <w:rsid w:val="00E7371B"/>
    <w:rsid w:val="00E73765"/>
    <w:rsid w:val="00E74ACE"/>
    <w:rsid w:val="00E75A0F"/>
    <w:rsid w:val="00E76EA7"/>
    <w:rsid w:val="00E77628"/>
    <w:rsid w:val="00E77C06"/>
    <w:rsid w:val="00E809B5"/>
    <w:rsid w:val="00E8317E"/>
    <w:rsid w:val="00E831F7"/>
    <w:rsid w:val="00E835D7"/>
    <w:rsid w:val="00E855E0"/>
    <w:rsid w:val="00E858D0"/>
    <w:rsid w:val="00E860B7"/>
    <w:rsid w:val="00E8612F"/>
    <w:rsid w:val="00E8660F"/>
    <w:rsid w:val="00E86717"/>
    <w:rsid w:val="00E87222"/>
    <w:rsid w:val="00E8750F"/>
    <w:rsid w:val="00E8780D"/>
    <w:rsid w:val="00E903CB"/>
    <w:rsid w:val="00E9221F"/>
    <w:rsid w:val="00E92644"/>
    <w:rsid w:val="00E927A5"/>
    <w:rsid w:val="00E93A2D"/>
    <w:rsid w:val="00E93C24"/>
    <w:rsid w:val="00E943BB"/>
    <w:rsid w:val="00E94499"/>
    <w:rsid w:val="00E95DB8"/>
    <w:rsid w:val="00E95E3B"/>
    <w:rsid w:val="00E97527"/>
    <w:rsid w:val="00EA0191"/>
    <w:rsid w:val="00EA186C"/>
    <w:rsid w:val="00EA1E91"/>
    <w:rsid w:val="00EA2168"/>
    <w:rsid w:val="00EA229D"/>
    <w:rsid w:val="00EA43FA"/>
    <w:rsid w:val="00EA46A8"/>
    <w:rsid w:val="00EA4773"/>
    <w:rsid w:val="00EA4B87"/>
    <w:rsid w:val="00EA5A9E"/>
    <w:rsid w:val="00EA6556"/>
    <w:rsid w:val="00EA6842"/>
    <w:rsid w:val="00EA6D25"/>
    <w:rsid w:val="00EA7290"/>
    <w:rsid w:val="00EB1B80"/>
    <w:rsid w:val="00EB2057"/>
    <w:rsid w:val="00EB3995"/>
    <w:rsid w:val="00EB4C26"/>
    <w:rsid w:val="00EB5127"/>
    <w:rsid w:val="00EB53F2"/>
    <w:rsid w:val="00EB548C"/>
    <w:rsid w:val="00EB5B11"/>
    <w:rsid w:val="00EB7803"/>
    <w:rsid w:val="00EC0295"/>
    <w:rsid w:val="00EC0454"/>
    <w:rsid w:val="00EC06CD"/>
    <w:rsid w:val="00EC0F4A"/>
    <w:rsid w:val="00EC113D"/>
    <w:rsid w:val="00EC19FA"/>
    <w:rsid w:val="00EC1F39"/>
    <w:rsid w:val="00EC2018"/>
    <w:rsid w:val="00EC26F3"/>
    <w:rsid w:val="00EC2948"/>
    <w:rsid w:val="00EC339E"/>
    <w:rsid w:val="00EC33E6"/>
    <w:rsid w:val="00EC3436"/>
    <w:rsid w:val="00EC45D0"/>
    <w:rsid w:val="00EC574B"/>
    <w:rsid w:val="00EC5F86"/>
    <w:rsid w:val="00ED0940"/>
    <w:rsid w:val="00ED1C65"/>
    <w:rsid w:val="00ED25CE"/>
    <w:rsid w:val="00ED305C"/>
    <w:rsid w:val="00ED3A55"/>
    <w:rsid w:val="00ED3B06"/>
    <w:rsid w:val="00ED402C"/>
    <w:rsid w:val="00ED4736"/>
    <w:rsid w:val="00ED511B"/>
    <w:rsid w:val="00ED7DD7"/>
    <w:rsid w:val="00EE05E2"/>
    <w:rsid w:val="00EE0ACF"/>
    <w:rsid w:val="00EE1849"/>
    <w:rsid w:val="00EE18F6"/>
    <w:rsid w:val="00EE22E3"/>
    <w:rsid w:val="00EE2C12"/>
    <w:rsid w:val="00EE2C8B"/>
    <w:rsid w:val="00EE2ED0"/>
    <w:rsid w:val="00EE37DE"/>
    <w:rsid w:val="00EE3E63"/>
    <w:rsid w:val="00EE40D5"/>
    <w:rsid w:val="00EE50A7"/>
    <w:rsid w:val="00EE5C42"/>
    <w:rsid w:val="00EE67C5"/>
    <w:rsid w:val="00EF059F"/>
    <w:rsid w:val="00EF18EF"/>
    <w:rsid w:val="00EF1ED2"/>
    <w:rsid w:val="00EF3EB5"/>
    <w:rsid w:val="00EF4031"/>
    <w:rsid w:val="00EF45CE"/>
    <w:rsid w:val="00EF4C71"/>
    <w:rsid w:val="00EF5A2E"/>
    <w:rsid w:val="00EF695C"/>
    <w:rsid w:val="00EF6D54"/>
    <w:rsid w:val="00EF7B5D"/>
    <w:rsid w:val="00F00984"/>
    <w:rsid w:val="00F01FF7"/>
    <w:rsid w:val="00F0212A"/>
    <w:rsid w:val="00F023DC"/>
    <w:rsid w:val="00F0333A"/>
    <w:rsid w:val="00F0404E"/>
    <w:rsid w:val="00F04376"/>
    <w:rsid w:val="00F05784"/>
    <w:rsid w:val="00F05908"/>
    <w:rsid w:val="00F07C66"/>
    <w:rsid w:val="00F10305"/>
    <w:rsid w:val="00F1076B"/>
    <w:rsid w:val="00F10D71"/>
    <w:rsid w:val="00F11465"/>
    <w:rsid w:val="00F11B9B"/>
    <w:rsid w:val="00F11D20"/>
    <w:rsid w:val="00F120D0"/>
    <w:rsid w:val="00F1363A"/>
    <w:rsid w:val="00F13DBF"/>
    <w:rsid w:val="00F13E0D"/>
    <w:rsid w:val="00F14100"/>
    <w:rsid w:val="00F14682"/>
    <w:rsid w:val="00F15AFB"/>
    <w:rsid w:val="00F15DFF"/>
    <w:rsid w:val="00F15F6A"/>
    <w:rsid w:val="00F16FDB"/>
    <w:rsid w:val="00F175CA"/>
    <w:rsid w:val="00F20B6E"/>
    <w:rsid w:val="00F20FF5"/>
    <w:rsid w:val="00F2242F"/>
    <w:rsid w:val="00F2440F"/>
    <w:rsid w:val="00F248EC"/>
    <w:rsid w:val="00F24ACD"/>
    <w:rsid w:val="00F24BCF"/>
    <w:rsid w:val="00F24C64"/>
    <w:rsid w:val="00F24C99"/>
    <w:rsid w:val="00F24FEC"/>
    <w:rsid w:val="00F25D22"/>
    <w:rsid w:val="00F25EC8"/>
    <w:rsid w:val="00F2639B"/>
    <w:rsid w:val="00F271F4"/>
    <w:rsid w:val="00F276EE"/>
    <w:rsid w:val="00F30159"/>
    <w:rsid w:val="00F3087C"/>
    <w:rsid w:val="00F3255F"/>
    <w:rsid w:val="00F33271"/>
    <w:rsid w:val="00F33713"/>
    <w:rsid w:val="00F33F70"/>
    <w:rsid w:val="00F34182"/>
    <w:rsid w:val="00F3510E"/>
    <w:rsid w:val="00F35960"/>
    <w:rsid w:val="00F35B8D"/>
    <w:rsid w:val="00F373DC"/>
    <w:rsid w:val="00F37714"/>
    <w:rsid w:val="00F37EF3"/>
    <w:rsid w:val="00F403D6"/>
    <w:rsid w:val="00F40782"/>
    <w:rsid w:val="00F422EF"/>
    <w:rsid w:val="00F42894"/>
    <w:rsid w:val="00F4372C"/>
    <w:rsid w:val="00F43E26"/>
    <w:rsid w:val="00F4532B"/>
    <w:rsid w:val="00F45CF2"/>
    <w:rsid w:val="00F46FE6"/>
    <w:rsid w:val="00F470EA"/>
    <w:rsid w:val="00F47559"/>
    <w:rsid w:val="00F47B25"/>
    <w:rsid w:val="00F5038E"/>
    <w:rsid w:val="00F506AE"/>
    <w:rsid w:val="00F50914"/>
    <w:rsid w:val="00F5118C"/>
    <w:rsid w:val="00F51346"/>
    <w:rsid w:val="00F51CA7"/>
    <w:rsid w:val="00F5235B"/>
    <w:rsid w:val="00F53577"/>
    <w:rsid w:val="00F54947"/>
    <w:rsid w:val="00F54F7B"/>
    <w:rsid w:val="00F55CD7"/>
    <w:rsid w:val="00F55E8E"/>
    <w:rsid w:val="00F55EF3"/>
    <w:rsid w:val="00F560DC"/>
    <w:rsid w:val="00F56484"/>
    <w:rsid w:val="00F56916"/>
    <w:rsid w:val="00F56AD0"/>
    <w:rsid w:val="00F56CB1"/>
    <w:rsid w:val="00F61E69"/>
    <w:rsid w:val="00F626C2"/>
    <w:rsid w:val="00F627CB"/>
    <w:rsid w:val="00F63023"/>
    <w:rsid w:val="00F630EF"/>
    <w:rsid w:val="00F6319E"/>
    <w:rsid w:val="00F63F85"/>
    <w:rsid w:val="00F65819"/>
    <w:rsid w:val="00F664CB"/>
    <w:rsid w:val="00F66865"/>
    <w:rsid w:val="00F67A6B"/>
    <w:rsid w:val="00F70B5B"/>
    <w:rsid w:val="00F70C52"/>
    <w:rsid w:val="00F7142B"/>
    <w:rsid w:val="00F71634"/>
    <w:rsid w:val="00F7244F"/>
    <w:rsid w:val="00F72962"/>
    <w:rsid w:val="00F72D23"/>
    <w:rsid w:val="00F743D8"/>
    <w:rsid w:val="00F74CB0"/>
    <w:rsid w:val="00F75495"/>
    <w:rsid w:val="00F7639C"/>
    <w:rsid w:val="00F765EB"/>
    <w:rsid w:val="00F773A0"/>
    <w:rsid w:val="00F77DC0"/>
    <w:rsid w:val="00F807F1"/>
    <w:rsid w:val="00F81CE4"/>
    <w:rsid w:val="00F822BA"/>
    <w:rsid w:val="00F835DA"/>
    <w:rsid w:val="00F836EA"/>
    <w:rsid w:val="00F83EBC"/>
    <w:rsid w:val="00F84534"/>
    <w:rsid w:val="00F85BC9"/>
    <w:rsid w:val="00F86720"/>
    <w:rsid w:val="00F8673B"/>
    <w:rsid w:val="00F872F4"/>
    <w:rsid w:val="00F87522"/>
    <w:rsid w:val="00F908F8"/>
    <w:rsid w:val="00F91018"/>
    <w:rsid w:val="00F92442"/>
    <w:rsid w:val="00F926C8"/>
    <w:rsid w:val="00F92A8B"/>
    <w:rsid w:val="00F936E6"/>
    <w:rsid w:val="00F939DB"/>
    <w:rsid w:val="00F945C4"/>
    <w:rsid w:val="00F94E8C"/>
    <w:rsid w:val="00F95B89"/>
    <w:rsid w:val="00F964B0"/>
    <w:rsid w:val="00F973F0"/>
    <w:rsid w:val="00F97B52"/>
    <w:rsid w:val="00F97D2D"/>
    <w:rsid w:val="00FA05A4"/>
    <w:rsid w:val="00FA200E"/>
    <w:rsid w:val="00FA24ED"/>
    <w:rsid w:val="00FA2F44"/>
    <w:rsid w:val="00FA2F87"/>
    <w:rsid w:val="00FA30C2"/>
    <w:rsid w:val="00FA31D8"/>
    <w:rsid w:val="00FA3E95"/>
    <w:rsid w:val="00FA47FD"/>
    <w:rsid w:val="00FA63B6"/>
    <w:rsid w:val="00FA6958"/>
    <w:rsid w:val="00FA6AF7"/>
    <w:rsid w:val="00FA7135"/>
    <w:rsid w:val="00FA784C"/>
    <w:rsid w:val="00FA7F93"/>
    <w:rsid w:val="00FB06E1"/>
    <w:rsid w:val="00FB0BD9"/>
    <w:rsid w:val="00FB0CA2"/>
    <w:rsid w:val="00FB1A25"/>
    <w:rsid w:val="00FB1E5B"/>
    <w:rsid w:val="00FB4A9E"/>
    <w:rsid w:val="00FB4B25"/>
    <w:rsid w:val="00FB5FAB"/>
    <w:rsid w:val="00FB66AB"/>
    <w:rsid w:val="00FB6912"/>
    <w:rsid w:val="00FB79BE"/>
    <w:rsid w:val="00FB7CBB"/>
    <w:rsid w:val="00FC00DD"/>
    <w:rsid w:val="00FC0A72"/>
    <w:rsid w:val="00FC1247"/>
    <w:rsid w:val="00FC13E2"/>
    <w:rsid w:val="00FC14D9"/>
    <w:rsid w:val="00FC1C66"/>
    <w:rsid w:val="00FC24E3"/>
    <w:rsid w:val="00FC27D4"/>
    <w:rsid w:val="00FC3CD4"/>
    <w:rsid w:val="00FC4E2A"/>
    <w:rsid w:val="00FC53FB"/>
    <w:rsid w:val="00FC6CF3"/>
    <w:rsid w:val="00FC6F4F"/>
    <w:rsid w:val="00FC7010"/>
    <w:rsid w:val="00FD06EA"/>
    <w:rsid w:val="00FD0C1E"/>
    <w:rsid w:val="00FD1B30"/>
    <w:rsid w:val="00FD33E6"/>
    <w:rsid w:val="00FD3D3E"/>
    <w:rsid w:val="00FD4653"/>
    <w:rsid w:val="00FD4975"/>
    <w:rsid w:val="00FD4DCB"/>
    <w:rsid w:val="00FD5051"/>
    <w:rsid w:val="00FD522D"/>
    <w:rsid w:val="00FD5958"/>
    <w:rsid w:val="00FD5A01"/>
    <w:rsid w:val="00FD5A0F"/>
    <w:rsid w:val="00FD70D1"/>
    <w:rsid w:val="00FD756D"/>
    <w:rsid w:val="00FD7972"/>
    <w:rsid w:val="00FD79EA"/>
    <w:rsid w:val="00FE059A"/>
    <w:rsid w:val="00FE0767"/>
    <w:rsid w:val="00FE0781"/>
    <w:rsid w:val="00FE1091"/>
    <w:rsid w:val="00FE14F4"/>
    <w:rsid w:val="00FE1934"/>
    <w:rsid w:val="00FE2022"/>
    <w:rsid w:val="00FE29AF"/>
    <w:rsid w:val="00FE3287"/>
    <w:rsid w:val="00FE395C"/>
    <w:rsid w:val="00FE3996"/>
    <w:rsid w:val="00FE3BF2"/>
    <w:rsid w:val="00FE3CF5"/>
    <w:rsid w:val="00FE3DE9"/>
    <w:rsid w:val="00FE4377"/>
    <w:rsid w:val="00FE54AE"/>
    <w:rsid w:val="00FE6137"/>
    <w:rsid w:val="00FE7CFC"/>
    <w:rsid w:val="00FF046D"/>
    <w:rsid w:val="00FF1E56"/>
    <w:rsid w:val="00FF2122"/>
    <w:rsid w:val="00FF2339"/>
    <w:rsid w:val="00FF2430"/>
    <w:rsid w:val="00FF26B9"/>
    <w:rsid w:val="00FF2A35"/>
    <w:rsid w:val="00FF33AA"/>
    <w:rsid w:val="00FF371D"/>
    <w:rsid w:val="00FF4244"/>
    <w:rsid w:val="00FF4B33"/>
    <w:rsid w:val="00FF4E3A"/>
    <w:rsid w:val="00FF581C"/>
    <w:rsid w:val="00FF5C58"/>
    <w:rsid w:val="00FF637D"/>
    <w:rsid w:val="00FF64CF"/>
    <w:rsid w:val="00FF64DD"/>
    <w:rsid w:val="00FF6953"/>
    <w:rsid w:val="00FF6B5D"/>
    <w:rsid w:val="00FF75BA"/>
    <w:rsid w:val="0154F000"/>
    <w:rsid w:val="024CA36F"/>
    <w:rsid w:val="029FCC3C"/>
    <w:rsid w:val="035C1962"/>
    <w:rsid w:val="03FCCAC7"/>
    <w:rsid w:val="04038DED"/>
    <w:rsid w:val="0454B7E4"/>
    <w:rsid w:val="0461BD54"/>
    <w:rsid w:val="04E8DEBB"/>
    <w:rsid w:val="05D9519F"/>
    <w:rsid w:val="05EABECF"/>
    <w:rsid w:val="06C5B3EC"/>
    <w:rsid w:val="07419F14"/>
    <w:rsid w:val="081B06AF"/>
    <w:rsid w:val="083657CB"/>
    <w:rsid w:val="08F1E4E0"/>
    <w:rsid w:val="0AEEA9F2"/>
    <w:rsid w:val="0DACD12E"/>
    <w:rsid w:val="0DF5BD8B"/>
    <w:rsid w:val="1149A351"/>
    <w:rsid w:val="114EB9A7"/>
    <w:rsid w:val="11D8E797"/>
    <w:rsid w:val="11DDCAA6"/>
    <w:rsid w:val="12CE89F4"/>
    <w:rsid w:val="134B4704"/>
    <w:rsid w:val="1395BEA4"/>
    <w:rsid w:val="14352E7F"/>
    <w:rsid w:val="144DB0BB"/>
    <w:rsid w:val="151EFE00"/>
    <w:rsid w:val="1592D8F6"/>
    <w:rsid w:val="15C3D9A8"/>
    <w:rsid w:val="15C9908C"/>
    <w:rsid w:val="160C83AA"/>
    <w:rsid w:val="16156D4F"/>
    <w:rsid w:val="168E13CB"/>
    <w:rsid w:val="18068887"/>
    <w:rsid w:val="18217EA1"/>
    <w:rsid w:val="192121DE"/>
    <w:rsid w:val="1957D253"/>
    <w:rsid w:val="1AD8591B"/>
    <w:rsid w:val="1AE4B649"/>
    <w:rsid w:val="1B3590AA"/>
    <w:rsid w:val="1B5F6ABE"/>
    <w:rsid w:val="1CF15B9F"/>
    <w:rsid w:val="1E5CF2B4"/>
    <w:rsid w:val="1F199680"/>
    <w:rsid w:val="1FFA4398"/>
    <w:rsid w:val="209593FD"/>
    <w:rsid w:val="20C68186"/>
    <w:rsid w:val="21609F18"/>
    <w:rsid w:val="2253A608"/>
    <w:rsid w:val="225B1C1A"/>
    <w:rsid w:val="236CEE8F"/>
    <w:rsid w:val="237734CF"/>
    <w:rsid w:val="24302400"/>
    <w:rsid w:val="24B5A60A"/>
    <w:rsid w:val="24C7F2B6"/>
    <w:rsid w:val="253B442D"/>
    <w:rsid w:val="25687813"/>
    <w:rsid w:val="2613F272"/>
    <w:rsid w:val="2615A615"/>
    <w:rsid w:val="26B4B4AE"/>
    <w:rsid w:val="27A988F0"/>
    <w:rsid w:val="289D4BE3"/>
    <w:rsid w:val="29F91D83"/>
    <w:rsid w:val="2A61BC20"/>
    <w:rsid w:val="2B2E7749"/>
    <w:rsid w:val="2B9C76E5"/>
    <w:rsid w:val="2C08C6F2"/>
    <w:rsid w:val="2C426AEC"/>
    <w:rsid w:val="2C42B331"/>
    <w:rsid w:val="2D1E31F5"/>
    <w:rsid w:val="2D4E7315"/>
    <w:rsid w:val="2FA5EEAC"/>
    <w:rsid w:val="2FAB93B7"/>
    <w:rsid w:val="300520E0"/>
    <w:rsid w:val="3090DB95"/>
    <w:rsid w:val="30A7CDAF"/>
    <w:rsid w:val="30CE380D"/>
    <w:rsid w:val="31E368DF"/>
    <w:rsid w:val="324E0A91"/>
    <w:rsid w:val="3438FA73"/>
    <w:rsid w:val="359030F0"/>
    <w:rsid w:val="35EF47B2"/>
    <w:rsid w:val="3639479F"/>
    <w:rsid w:val="3814E261"/>
    <w:rsid w:val="396FAF20"/>
    <w:rsid w:val="39B5D6F0"/>
    <w:rsid w:val="3A3388F6"/>
    <w:rsid w:val="3A45854C"/>
    <w:rsid w:val="3BC5C8B1"/>
    <w:rsid w:val="3CB004E0"/>
    <w:rsid w:val="3D26649F"/>
    <w:rsid w:val="3D39F37C"/>
    <w:rsid w:val="3DA6FA54"/>
    <w:rsid w:val="3E220462"/>
    <w:rsid w:val="3E33DBD4"/>
    <w:rsid w:val="3E9962EE"/>
    <w:rsid w:val="3EBFFF59"/>
    <w:rsid w:val="406357B5"/>
    <w:rsid w:val="4143BA66"/>
    <w:rsid w:val="42549077"/>
    <w:rsid w:val="4277A835"/>
    <w:rsid w:val="427B0E2B"/>
    <w:rsid w:val="4290391A"/>
    <w:rsid w:val="42FF2D9B"/>
    <w:rsid w:val="43172708"/>
    <w:rsid w:val="45D6F34D"/>
    <w:rsid w:val="477E008F"/>
    <w:rsid w:val="48190206"/>
    <w:rsid w:val="481B45E1"/>
    <w:rsid w:val="4830E364"/>
    <w:rsid w:val="48AC5880"/>
    <w:rsid w:val="48E5FC90"/>
    <w:rsid w:val="48EF5D63"/>
    <w:rsid w:val="493C132E"/>
    <w:rsid w:val="4B6E79E8"/>
    <w:rsid w:val="4C9D64A0"/>
    <w:rsid w:val="502CD557"/>
    <w:rsid w:val="51AEF980"/>
    <w:rsid w:val="525FD372"/>
    <w:rsid w:val="529A9B95"/>
    <w:rsid w:val="52C6A783"/>
    <w:rsid w:val="52D71003"/>
    <w:rsid w:val="531B7A42"/>
    <w:rsid w:val="534AC9E1"/>
    <w:rsid w:val="54A74795"/>
    <w:rsid w:val="55841027"/>
    <w:rsid w:val="5607B717"/>
    <w:rsid w:val="5662216F"/>
    <w:rsid w:val="56DDA933"/>
    <w:rsid w:val="5722F2DB"/>
    <w:rsid w:val="5736F694"/>
    <w:rsid w:val="58097D61"/>
    <w:rsid w:val="581F18EE"/>
    <w:rsid w:val="587D2E36"/>
    <w:rsid w:val="59111579"/>
    <w:rsid w:val="594C8CDB"/>
    <w:rsid w:val="5969AFB7"/>
    <w:rsid w:val="5AA194B8"/>
    <w:rsid w:val="5B0EF5A2"/>
    <w:rsid w:val="5BE2AA99"/>
    <w:rsid w:val="5BE63734"/>
    <w:rsid w:val="5D4C5841"/>
    <w:rsid w:val="5D51FF8B"/>
    <w:rsid w:val="5D6B4BD9"/>
    <w:rsid w:val="618B8C19"/>
    <w:rsid w:val="618F4ABF"/>
    <w:rsid w:val="61CDFFB4"/>
    <w:rsid w:val="62A192E4"/>
    <w:rsid w:val="62E0E5DD"/>
    <w:rsid w:val="639F636D"/>
    <w:rsid w:val="65BF6C51"/>
    <w:rsid w:val="65E63F9D"/>
    <w:rsid w:val="67A21FBE"/>
    <w:rsid w:val="67DE24B0"/>
    <w:rsid w:val="6A498446"/>
    <w:rsid w:val="6AA71523"/>
    <w:rsid w:val="6BB13CF1"/>
    <w:rsid w:val="6D4CFA96"/>
    <w:rsid w:val="6E7B4583"/>
    <w:rsid w:val="6E81FDF6"/>
    <w:rsid w:val="6EBDA6C6"/>
    <w:rsid w:val="7149DFEE"/>
    <w:rsid w:val="717AD97F"/>
    <w:rsid w:val="723F3678"/>
    <w:rsid w:val="724AEC41"/>
    <w:rsid w:val="7283BAB3"/>
    <w:rsid w:val="72F9B845"/>
    <w:rsid w:val="73138F70"/>
    <w:rsid w:val="7324C207"/>
    <w:rsid w:val="736520F1"/>
    <w:rsid w:val="740A3A02"/>
    <w:rsid w:val="743105CE"/>
    <w:rsid w:val="7592FE8C"/>
    <w:rsid w:val="75A4F9A8"/>
    <w:rsid w:val="75A58F91"/>
    <w:rsid w:val="7627BEDD"/>
    <w:rsid w:val="77A7B3CA"/>
    <w:rsid w:val="7825D4B5"/>
    <w:rsid w:val="78996639"/>
    <w:rsid w:val="7921A145"/>
    <w:rsid w:val="7928184D"/>
    <w:rsid w:val="79A2A520"/>
    <w:rsid w:val="79E4BF62"/>
    <w:rsid w:val="7AA00B78"/>
    <w:rsid w:val="7C4D8FF3"/>
    <w:rsid w:val="7D21D195"/>
    <w:rsid w:val="7D583353"/>
    <w:rsid w:val="7D97B77D"/>
    <w:rsid w:val="7DAB7F58"/>
    <w:rsid w:val="7DDC91FE"/>
    <w:rsid w:val="7E31B142"/>
    <w:rsid w:val="7FB3FF37"/>
    <w:rsid w:val="7FEF9C9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7BA2896A"/>
  <w15:docId w15:val="{259CB8DB-EAA2-4609-AFEC-6384493C5E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AU" w:eastAsia="en-A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2" w:unhideWhenUsed="1"/>
    <w:lsdException w:name="toc 2" w:semiHidden="1" w:uiPriority="2" w:unhideWhenUsed="1"/>
    <w:lsdException w:name="toc 3" w:semiHidden="1" w:uiPriority="2" w:unhideWhenUsed="1"/>
    <w:lsdException w:name="toc 4" w:semiHidden="1" w:uiPriority="2" w:unhideWhenUsed="1"/>
    <w:lsdException w:name="toc 5" w:semiHidden="1" w:uiPriority="2" w:unhideWhenUsed="1"/>
    <w:lsdException w:name="toc 6" w:semiHidden="1" w:uiPriority="2" w:unhideWhenUsed="1"/>
    <w:lsdException w:name="toc 7" w:semiHidden="1" w:uiPriority="2" w:unhideWhenUsed="1"/>
    <w:lsdException w:name="toc 8" w:semiHidden="1" w:uiPriority="2" w:unhideWhenUsed="1"/>
    <w:lsdException w:name="toc 9" w:semiHidden="1" w:uiPriority="2" w:unhideWhenUsed="1"/>
    <w:lsdException w:name="Normal Indent" w:semiHidden="1" w:unhideWhenUsed="1"/>
    <w:lsdException w:name="footnote text" w:semiHidden="1" w:unhideWhenUsed="1"/>
    <w:lsdException w:name="annotation text" w:semiHidden="1" w:unhideWhenUsed="1" w:qFormat="1"/>
    <w:lsdException w:name="header" w:semiHidden="1" w:unhideWhenUsed="1" w:qFormat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/>
    <w:lsdException w:name="List 2" w:semiHidden="1" w:unhideWhenUsed="1"/>
    <w:lsdException w:name="List 3" w:semiHidden="1" w:unhideWhenUsed="1"/>
    <w:lsdException w:name="List 4" w:semiHidden="1"/>
    <w:lsdException w:name="List 5" w:semiHidden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" w:semiHidden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semiHidden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semiHidden="1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semiHidden="1" w:uiPriority="19" w:qFormat="1"/>
    <w:lsdException w:name="Intense Emphasis" w:semiHidden="1" w:uiPriority="21" w:qFormat="1"/>
    <w:lsdException w:name="Subtle Reference" w:semiHidden="1" w:uiPriority="31" w:qFormat="1"/>
    <w:lsdException w:name="Intense Reference" w:semiHidden="1" w:uiPriority="32" w:qFormat="1"/>
    <w:lsdException w:name="Book Title" w:semiHidden="1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A64661"/>
    <w:pPr>
      <w:spacing w:before="240" w:after="240" w:line="240" w:lineRule="exact"/>
    </w:pPr>
    <w:rPr>
      <w:rFonts w:ascii="Book Antiqua" w:hAnsi="Book Antiqua"/>
      <w:sz w:val="19"/>
    </w:rPr>
  </w:style>
  <w:style w:type="paragraph" w:styleId="Heading1">
    <w:name w:val="heading 1"/>
    <w:basedOn w:val="HeadingBase"/>
    <w:next w:val="Normal"/>
    <w:link w:val="Heading1Char"/>
    <w:qFormat/>
    <w:rsid w:val="00A64661"/>
    <w:pPr>
      <w:spacing w:after="240"/>
      <w:outlineLvl w:val="0"/>
    </w:pPr>
    <w:rPr>
      <w:rFonts w:ascii="Arial Bold" w:hAnsi="Arial Bold"/>
      <w:b/>
      <w:kern w:val="34"/>
      <w:sz w:val="36"/>
    </w:rPr>
  </w:style>
  <w:style w:type="paragraph" w:styleId="Heading2">
    <w:name w:val="heading 2"/>
    <w:basedOn w:val="HeadingBase"/>
    <w:next w:val="Normal"/>
    <w:link w:val="Heading2Char"/>
    <w:qFormat/>
    <w:rsid w:val="00A64661"/>
    <w:pPr>
      <w:spacing w:before="240" w:after="240"/>
      <w:outlineLvl w:val="1"/>
    </w:pPr>
    <w:rPr>
      <w:rFonts w:ascii="Arial Bold" w:hAnsi="Arial Bold"/>
      <w:b/>
      <w:sz w:val="26"/>
    </w:rPr>
  </w:style>
  <w:style w:type="paragraph" w:styleId="Heading3">
    <w:name w:val="heading 3"/>
    <w:basedOn w:val="HeadingBase"/>
    <w:next w:val="Normal"/>
    <w:link w:val="Heading3Char"/>
    <w:qFormat/>
    <w:rsid w:val="00A64661"/>
    <w:pPr>
      <w:spacing w:before="120" w:after="120"/>
      <w:outlineLvl w:val="2"/>
    </w:pPr>
    <w:rPr>
      <w:rFonts w:ascii="Arial Bold" w:hAnsi="Arial Bold"/>
      <w:b/>
      <w:sz w:val="22"/>
    </w:rPr>
  </w:style>
  <w:style w:type="paragraph" w:styleId="Heading4">
    <w:name w:val="heading 4"/>
    <w:basedOn w:val="HeadingBase"/>
    <w:next w:val="Normal"/>
    <w:link w:val="Heading4Char"/>
    <w:qFormat/>
    <w:rsid w:val="00A64661"/>
    <w:pPr>
      <w:spacing w:after="120"/>
      <w:outlineLvl w:val="3"/>
    </w:pPr>
    <w:rPr>
      <w:rFonts w:ascii="Arial Bold" w:hAnsi="Arial Bold"/>
      <w:b/>
      <w:sz w:val="20"/>
    </w:rPr>
  </w:style>
  <w:style w:type="paragraph" w:styleId="Heading5">
    <w:name w:val="heading 5"/>
    <w:basedOn w:val="HeadingBase"/>
    <w:next w:val="Normal"/>
    <w:link w:val="Heading5Char"/>
    <w:qFormat/>
    <w:rsid w:val="00A64661"/>
    <w:pPr>
      <w:spacing w:after="120"/>
      <w:outlineLvl w:val="4"/>
    </w:pPr>
    <w:rPr>
      <w:bCs/>
      <w:i/>
      <w:iCs/>
      <w:sz w:val="20"/>
      <w:szCs w:val="26"/>
    </w:rPr>
  </w:style>
  <w:style w:type="paragraph" w:styleId="Heading6">
    <w:name w:val="heading 6"/>
    <w:basedOn w:val="HeadingBase"/>
    <w:next w:val="Normal"/>
    <w:link w:val="Heading6Char"/>
    <w:rsid w:val="00A64661"/>
    <w:pPr>
      <w:spacing w:after="120"/>
      <w:outlineLvl w:val="5"/>
    </w:pPr>
    <w:rPr>
      <w:bCs/>
      <w:sz w:val="20"/>
      <w:szCs w:val="22"/>
    </w:rPr>
  </w:style>
  <w:style w:type="paragraph" w:styleId="Heading7">
    <w:name w:val="heading 7"/>
    <w:basedOn w:val="HeadingBase"/>
    <w:next w:val="Normal"/>
    <w:link w:val="Heading7Char"/>
    <w:rsid w:val="00A64661"/>
    <w:pPr>
      <w:spacing w:before="120"/>
      <w:outlineLvl w:val="6"/>
    </w:pPr>
    <w:rPr>
      <w:sz w:val="20"/>
      <w:szCs w:val="24"/>
    </w:rPr>
  </w:style>
  <w:style w:type="paragraph" w:styleId="Heading8">
    <w:name w:val="heading 8"/>
    <w:basedOn w:val="HeadingBase"/>
    <w:next w:val="Normal"/>
    <w:link w:val="Heading8Char"/>
    <w:rsid w:val="00A64661"/>
    <w:pPr>
      <w:spacing w:before="240" w:after="60"/>
      <w:outlineLvl w:val="7"/>
    </w:pPr>
    <w:rPr>
      <w:rFonts w:ascii="Times New Roman" w:hAnsi="Times New Roman"/>
      <w:i/>
      <w:iCs/>
      <w:sz w:val="16"/>
      <w:szCs w:val="24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00A64661"/>
    <w:pPr>
      <w:spacing w:after="60"/>
      <w:outlineLvl w:val="8"/>
    </w:pPr>
    <w:rPr>
      <w:rFonts w:ascii="Cambria" w:hAnsi="Cambria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SingleParagraph">
    <w:name w:val="Single Paragraph"/>
    <w:basedOn w:val="Normal"/>
    <w:rsid w:val="00A64661"/>
    <w:pPr>
      <w:spacing w:before="0" w:after="0" w:line="240" w:lineRule="auto"/>
    </w:pPr>
  </w:style>
  <w:style w:type="paragraph" w:customStyle="1" w:styleId="Exampletext">
    <w:name w:val="Example text"/>
    <w:basedOn w:val="Normal"/>
    <w:link w:val="ExampletextCharChar"/>
    <w:semiHidden/>
    <w:rsid w:val="00A64661"/>
    <w:rPr>
      <w:i/>
      <w:color w:val="FF0000"/>
      <w:lang w:val="x-none" w:eastAsia="x-none"/>
    </w:rPr>
  </w:style>
  <w:style w:type="paragraph" w:customStyle="1" w:styleId="ChartSecondHeading">
    <w:name w:val="Chart Second Heading"/>
    <w:basedOn w:val="HeadingBase"/>
    <w:next w:val="ChartGraphic"/>
    <w:rsid w:val="00A64661"/>
    <w:pPr>
      <w:spacing w:after="60"/>
    </w:pPr>
    <w:rPr>
      <w:sz w:val="19"/>
    </w:rPr>
  </w:style>
  <w:style w:type="paragraph" w:customStyle="1" w:styleId="TableHeading">
    <w:name w:val="Table Heading"/>
    <w:basedOn w:val="HeadingBase"/>
    <w:next w:val="TableGraphic"/>
    <w:link w:val="TableHeadingChar"/>
    <w:qFormat/>
    <w:rsid w:val="00A64661"/>
    <w:pPr>
      <w:spacing w:before="120" w:after="20"/>
    </w:pPr>
    <w:rPr>
      <w:b/>
      <w:sz w:val="20"/>
    </w:rPr>
  </w:style>
  <w:style w:type="paragraph" w:customStyle="1" w:styleId="HeadingBase">
    <w:name w:val="Heading Base"/>
    <w:link w:val="HeadingBaseChar"/>
    <w:rsid w:val="00A64661"/>
    <w:pPr>
      <w:keepNext/>
    </w:pPr>
    <w:rPr>
      <w:rFonts w:ascii="Arial" w:hAnsi="Arial"/>
      <w:sz w:val="24"/>
    </w:rPr>
  </w:style>
  <w:style w:type="paragraph" w:customStyle="1" w:styleId="AlphaParagraph">
    <w:name w:val="Alpha Paragraph"/>
    <w:basedOn w:val="Normal"/>
    <w:rsid w:val="00A64661"/>
    <w:pPr>
      <w:numPr>
        <w:numId w:val="1"/>
      </w:numPr>
      <w:tabs>
        <w:tab w:val="clear" w:pos="567"/>
        <w:tab w:val="num" w:pos="360"/>
      </w:tabs>
    </w:pPr>
  </w:style>
  <w:style w:type="paragraph" w:customStyle="1" w:styleId="Bullet">
    <w:name w:val="Bullet"/>
    <w:basedOn w:val="Normal"/>
    <w:link w:val="BulletChar"/>
    <w:qFormat/>
    <w:rsid w:val="00A64661"/>
    <w:pPr>
      <w:numPr>
        <w:numId w:val="2"/>
      </w:numPr>
      <w:spacing w:after="160"/>
    </w:pPr>
  </w:style>
  <w:style w:type="paragraph" w:customStyle="1" w:styleId="Dash">
    <w:name w:val="Dash"/>
    <w:basedOn w:val="Normal"/>
    <w:qFormat/>
    <w:rsid w:val="00A64661"/>
    <w:pPr>
      <w:numPr>
        <w:ilvl w:val="1"/>
        <w:numId w:val="2"/>
      </w:numPr>
      <w:tabs>
        <w:tab w:val="left" w:pos="567"/>
      </w:tabs>
    </w:pPr>
  </w:style>
  <w:style w:type="paragraph" w:customStyle="1" w:styleId="DoubleDot">
    <w:name w:val="Double Dot"/>
    <w:basedOn w:val="Normal"/>
    <w:rsid w:val="00A64661"/>
    <w:pPr>
      <w:numPr>
        <w:ilvl w:val="2"/>
        <w:numId w:val="2"/>
      </w:numPr>
      <w:tabs>
        <w:tab w:val="clear" w:pos="850"/>
        <w:tab w:val="left" w:pos="851"/>
      </w:tabs>
    </w:pPr>
  </w:style>
  <w:style w:type="paragraph" w:customStyle="1" w:styleId="AppendixHeading">
    <w:name w:val="Appendix Heading"/>
    <w:basedOn w:val="HeadingBase"/>
    <w:semiHidden/>
    <w:rsid w:val="00A64661"/>
    <w:pPr>
      <w:spacing w:after="240"/>
      <w:jc w:val="center"/>
      <w:outlineLvl w:val="3"/>
    </w:pPr>
    <w:rPr>
      <w:b/>
      <w:smallCaps/>
      <w:sz w:val="30"/>
    </w:rPr>
  </w:style>
  <w:style w:type="paragraph" w:customStyle="1" w:styleId="BoxText">
    <w:name w:val="Box Text"/>
    <w:basedOn w:val="Normal"/>
    <w:qFormat/>
    <w:rsid w:val="00A64661"/>
    <w:pPr>
      <w:spacing w:before="120" w:after="120" w:line="240" w:lineRule="auto"/>
    </w:pPr>
  </w:style>
  <w:style w:type="paragraph" w:customStyle="1" w:styleId="BoxHeading">
    <w:name w:val="Box Heading"/>
    <w:basedOn w:val="HeadingBase"/>
    <w:next w:val="BoxText"/>
    <w:rsid w:val="00A64661"/>
    <w:pPr>
      <w:spacing w:before="120" w:after="120"/>
    </w:pPr>
    <w:rPr>
      <w:b/>
      <w:sz w:val="20"/>
    </w:rPr>
  </w:style>
  <w:style w:type="paragraph" w:customStyle="1" w:styleId="ChartandTableFootnoteAlpha">
    <w:name w:val="Chart and Table Footnote Alpha"/>
    <w:basedOn w:val="HeadingBase"/>
    <w:next w:val="Normal"/>
    <w:rsid w:val="00A64661"/>
    <w:pPr>
      <w:keepNext w:val="0"/>
      <w:numPr>
        <w:numId w:val="7"/>
      </w:numPr>
      <w:spacing w:before="30"/>
    </w:pPr>
    <w:rPr>
      <w:color w:val="000000"/>
      <w:sz w:val="16"/>
    </w:rPr>
  </w:style>
  <w:style w:type="paragraph" w:customStyle="1" w:styleId="ChartandTableFootnote">
    <w:name w:val="Chart and Table Footnote"/>
    <w:basedOn w:val="HeadingBase"/>
    <w:next w:val="Normal"/>
    <w:link w:val="ChartandTableFootnoteChar"/>
    <w:rsid w:val="00A64661"/>
    <w:pPr>
      <w:keepNext w:val="0"/>
      <w:tabs>
        <w:tab w:val="left" w:pos="709"/>
      </w:tabs>
      <w:spacing w:before="30"/>
    </w:pPr>
    <w:rPr>
      <w:color w:val="000000"/>
      <w:sz w:val="16"/>
    </w:rPr>
  </w:style>
  <w:style w:type="paragraph" w:customStyle="1" w:styleId="BoxBullet">
    <w:name w:val="Box Bullet"/>
    <w:basedOn w:val="BoxText"/>
    <w:rsid w:val="00A64661"/>
    <w:pPr>
      <w:numPr>
        <w:numId w:val="19"/>
      </w:numPr>
    </w:pPr>
  </w:style>
  <w:style w:type="paragraph" w:customStyle="1" w:styleId="ChartGraphic">
    <w:name w:val="Chart Graphic"/>
    <w:basedOn w:val="HeadingBase"/>
    <w:rsid w:val="00A64661"/>
    <w:pPr>
      <w:jc w:val="center"/>
    </w:pPr>
    <w:rPr>
      <w:sz w:val="20"/>
    </w:rPr>
  </w:style>
  <w:style w:type="paragraph" w:customStyle="1" w:styleId="ContentsHeading">
    <w:name w:val="Contents Heading"/>
    <w:basedOn w:val="HeadingBase"/>
    <w:next w:val="Normal"/>
    <w:rsid w:val="00A64661"/>
    <w:pPr>
      <w:spacing w:after="720"/>
    </w:pPr>
    <w:rPr>
      <w:b/>
      <w:bCs/>
      <w:sz w:val="36"/>
    </w:rPr>
  </w:style>
  <w:style w:type="paragraph" w:customStyle="1" w:styleId="FigureHeading">
    <w:name w:val="Figure Heading"/>
    <w:basedOn w:val="HeadingBase"/>
    <w:next w:val="ChartGraphic"/>
    <w:rsid w:val="00A64661"/>
    <w:pPr>
      <w:spacing w:before="120" w:after="20"/>
    </w:pPr>
    <w:rPr>
      <w:b/>
      <w:sz w:val="20"/>
    </w:rPr>
  </w:style>
  <w:style w:type="paragraph" w:customStyle="1" w:styleId="Classification">
    <w:name w:val="Classification"/>
    <w:basedOn w:val="HeadingBase"/>
    <w:rsid w:val="00A64661"/>
    <w:pPr>
      <w:jc w:val="center"/>
    </w:pPr>
    <w:rPr>
      <w:rFonts w:ascii="Arial Bold" w:hAnsi="Arial Bold"/>
      <w:b/>
      <w:caps/>
      <w:sz w:val="22"/>
    </w:rPr>
  </w:style>
  <w:style w:type="character" w:customStyle="1" w:styleId="HiddenSequenceCode">
    <w:name w:val="Hidden Sequence Code"/>
    <w:basedOn w:val="DefaultParagraphFont"/>
    <w:rsid w:val="00A64661"/>
    <w:rPr>
      <w:rFonts w:ascii="Times New Roman" w:hAnsi="Times New Roman"/>
      <w:vanish/>
      <w:sz w:val="16"/>
    </w:rPr>
  </w:style>
  <w:style w:type="paragraph" w:customStyle="1" w:styleId="OverviewParagraph">
    <w:name w:val="Overview Paragraph"/>
    <w:basedOn w:val="Normal"/>
    <w:rsid w:val="00A64661"/>
    <w:pPr>
      <w:spacing w:before="120" w:after="120" w:line="240" w:lineRule="auto"/>
    </w:pPr>
  </w:style>
  <w:style w:type="paragraph" w:customStyle="1" w:styleId="TableGraphic">
    <w:name w:val="Table Graphic"/>
    <w:basedOn w:val="Normal"/>
    <w:next w:val="Normal"/>
    <w:rsid w:val="00A64661"/>
    <w:pPr>
      <w:spacing w:before="0" w:after="0" w:line="240" w:lineRule="auto"/>
      <w:ind w:right="-113"/>
    </w:pPr>
  </w:style>
  <w:style w:type="paragraph" w:customStyle="1" w:styleId="NoteTableHeading">
    <w:name w:val="Note Table Heading"/>
    <w:basedOn w:val="HeadingBase"/>
    <w:next w:val="Normal"/>
    <w:rsid w:val="00A64661"/>
    <w:pPr>
      <w:spacing w:before="240"/>
    </w:pPr>
    <w:rPr>
      <w:b/>
      <w:sz w:val="20"/>
    </w:rPr>
  </w:style>
  <w:style w:type="paragraph" w:customStyle="1" w:styleId="Source">
    <w:name w:val="Source"/>
    <w:basedOn w:val="Normal"/>
    <w:rsid w:val="00A64661"/>
    <w:pPr>
      <w:tabs>
        <w:tab w:val="left" w:pos="709"/>
      </w:tabs>
      <w:spacing w:before="30" w:line="240" w:lineRule="auto"/>
      <w:ind w:left="709" w:hanging="709"/>
    </w:pPr>
    <w:rPr>
      <w:rFonts w:ascii="Arial" w:hAnsi="Arial"/>
      <w:sz w:val="16"/>
    </w:rPr>
  </w:style>
  <w:style w:type="paragraph" w:customStyle="1" w:styleId="TableTextBase">
    <w:name w:val="Table Text Base"/>
    <w:basedOn w:val="Normal"/>
    <w:link w:val="TableTextBaseChar"/>
    <w:rsid w:val="00A64661"/>
    <w:pPr>
      <w:spacing w:before="20" w:after="20" w:line="240" w:lineRule="auto"/>
    </w:pPr>
    <w:rPr>
      <w:rFonts w:ascii="Arial" w:hAnsi="Arial"/>
      <w:sz w:val="16"/>
    </w:rPr>
  </w:style>
  <w:style w:type="paragraph" w:customStyle="1" w:styleId="TableColumnHeadingBase">
    <w:name w:val="Table Column Heading Base"/>
    <w:basedOn w:val="Normal"/>
    <w:rsid w:val="00A64661"/>
    <w:pPr>
      <w:spacing w:before="40" w:after="40" w:line="240" w:lineRule="auto"/>
    </w:pPr>
    <w:rPr>
      <w:rFonts w:ascii="Arial Bold" w:hAnsi="Arial Bold"/>
      <w:b/>
      <w:sz w:val="16"/>
    </w:rPr>
  </w:style>
  <w:style w:type="paragraph" w:customStyle="1" w:styleId="TableTextLeft">
    <w:name w:val="Table Text Left"/>
    <w:basedOn w:val="TableTextBase"/>
    <w:link w:val="TableTextLeftChar"/>
    <w:rsid w:val="00A64661"/>
  </w:style>
  <w:style w:type="paragraph" w:customStyle="1" w:styleId="TableTextRight">
    <w:name w:val="Table Text Right"/>
    <w:basedOn w:val="TableTextBase"/>
    <w:rsid w:val="00A64661"/>
    <w:pPr>
      <w:jc w:val="right"/>
    </w:pPr>
  </w:style>
  <w:style w:type="paragraph" w:customStyle="1" w:styleId="TableTextCentred">
    <w:name w:val="Table Text Centred"/>
    <w:basedOn w:val="TableTextBase"/>
    <w:rsid w:val="00A64661"/>
    <w:pPr>
      <w:jc w:val="center"/>
    </w:pPr>
  </w:style>
  <w:style w:type="paragraph" w:customStyle="1" w:styleId="TableTextIndented">
    <w:name w:val="Table Text Indented"/>
    <w:basedOn w:val="TableTextBase"/>
    <w:rsid w:val="00A64661"/>
    <w:pPr>
      <w:ind w:left="284"/>
    </w:pPr>
  </w:style>
  <w:style w:type="paragraph" w:customStyle="1" w:styleId="TableColumnHeadingLeft">
    <w:name w:val="Table Column Heading Left"/>
    <w:basedOn w:val="TableColumnHeadingBase"/>
    <w:next w:val="Normal"/>
    <w:rsid w:val="00A64661"/>
  </w:style>
  <w:style w:type="paragraph" w:customStyle="1" w:styleId="TableColumnHeadingRight">
    <w:name w:val="Table Column Heading Right"/>
    <w:basedOn w:val="TableColumnHeadingBase"/>
    <w:next w:val="Normal"/>
    <w:rsid w:val="00A64661"/>
    <w:pPr>
      <w:jc w:val="right"/>
    </w:pPr>
  </w:style>
  <w:style w:type="paragraph" w:customStyle="1" w:styleId="TableColumnHeadingCentred">
    <w:name w:val="Table Column Heading Centred"/>
    <w:basedOn w:val="TableColumnHeadingBase"/>
    <w:next w:val="Normal"/>
    <w:rsid w:val="00A64661"/>
    <w:pPr>
      <w:jc w:val="center"/>
    </w:pPr>
  </w:style>
  <w:style w:type="paragraph" w:customStyle="1" w:styleId="Exampletextbullet">
    <w:name w:val="Example text bullet"/>
    <w:basedOn w:val="Exampletext"/>
    <w:semiHidden/>
    <w:rsid w:val="00A64661"/>
    <w:pPr>
      <w:numPr>
        <w:numId w:val="4"/>
      </w:numPr>
    </w:pPr>
  </w:style>
  <w:style w:type="paragraph" w:styleId="Title">
    <w:name w:val="Title"/>
    <w:basedOn w:val="Normal"/>
    <w:qFormat/>
    <w:rsid w:val="00A64661"/>
    <w:pPr>
      <w:spacing w:after="0" w:line="240" w:lineRule="auto"/>
      <w:jc w:val="center"/>
      <w:outlineLvl w:val="0"/>
    </w:pPr>
    <w:rPr>
      <w:rFonts w:ascii="Arial" w:hAnsi="Arial" w:cs="Arial"/>
      <w:b/>
      <w:bCs/>
      <w:smallCaps/>
      <w:kern w:val="28"/>
      <w:sz w:val="52"/>
      <w:szCs w:val="32"/>
    </w:rPr>
  </w:style>
  <w:style w:type="paragraph" w:customStyle="1" w:styleId="TableHeadingcontinued">
    <w:name w:val="Table Heading continued"/>
    <w:basedOn w:val="HeadingBase"/>
    <w:next w:val="TableGraphic"/>
    <w:rsid w:val="00A64661"/>
    <w:pPr>
      <w:spacing w:before="120" w:after="20"/>
    </w:pPr>
    <w:rPr>
      <w:rFonts w:ascii="Arial Bold" w:hAnsi="Arial Bold"/>
      <w:b/>
      <w:sz w:val="20"/>
    </w:rPr>
  </w:style>
  <w:style w:type="paragraph" w:customStyle="1" w:styleId="TPHeading1">
    <w:name w:val="TP Heading 1"/>
    <w:basedOn w:val="HeadingBase"/>
    <w:rsid w:val="00A64661"/>
    <w:pPr>
      <w:spacing w:before="60" w:after="60"/>
      <w:ind w:left="851"/>
    </w:pPr>
    <w:rPr>
      <w:rFonts w:ascii="Arial Bold" w:hAnsi="Arial Bold"/>
      <w:b/>
      <w:caps/>
      <w:spacing w:val="-10"/>
      <w:sz w:val="28"/>
    </w:rPr>
  </w:style>
  <w:style w:type="paragraph" w:customStyle="1" w:styleId="TPHeading2">
    <w:name w:val="TP Heading 2"/>
    <w:basedOn w:val="HeadingBase"/>
    <w:rsid w:val="00A64661"/>
    <w:pPr>
      <w:ind w:left="851"/>
    </w:pPr>
    <w:rPr>
      <w:caps/>
      <w:spacing w:val="-10"/>
      <w:sz w:val="28"/>
    </w:rPr>
  </w:style>
  <w:style w:type="paragraph" w:customStyle="1" w:styleId="TPHeading3">
    <w:name w:val="TP Heading 3"/>
    <w:basedOn w:val="HeadingBase"/>
    <w:rsid w:val="00A64661"/>
    <w:pPr>
      <w:ind w:left="851"/>
    </w:pPr>
    <w:rPr>
      <w:caps/>
      <w:spacing w:val="-10"/>
    </w:rPr>
  </w:style>
  <w:style w:type="paragraph" w:customStyle="1" w:styleId="HeaderBase">
    <w:name w:val="Header Base"/>
    <w:rsid w:val="00A64661"/>
    <w:rPr>
      <w:rFonts w:ascii="Arial" w:hAnsi="Arial"/>
      <w:color w:val="44546A" w:themeColor="text2"/>
      <w:sz w:val="18"/>
    </w:rPr>
  </w:style>
  <w:style w:type="paragraph" w:customStyle="1" w:styleId="HeaderEven">
    <w:name w:val="Header Even"/>
    <w:basedOn w:val="HeaderBase"/>
    <w:rsid w:val="00A64661"/>
    <w:rPr>
      <w:color w:val="auto"/>
    </w:rPr>
  </w:style>
  <w:style w:type="paragraph" w:customStyle="1" w:styleId="HeaderOdd">
    <w:name w:val="Header Odd"/>
    <w:basedOn w:val="HeaderBase"/>
    <w:rsid w:val="00A64661"/>
    <w:pPr>
      <w:jc w:val="right"/>
    </w:pPr>
    <w:rPr>
      <w:color w:val="000000" w:themeColor="text1"/>
    </w:rPr>
  </w:style>
  <w:style w:type="paragraph" w:styleId="Header">
    <w:name w:val="header"/>
    <w:basedOn w:val="HeaderBase"/>
    <w:link w:val="HeaderChar"/>
    <w:qFormat/>
    <w:rsid w:val="00A64661"/>
    <w:pPr>
      <w:tabs>
        <w:tab w:val="center" w:pos="4153"/>
        <w:tab w:val="right" w:pos="8306"/>
      </w:tabs>
    </w:pPr>
    <w:rPr>
      <w:color w:val="auto"/>
    </w:rPr>
  </w:style>
  <w:style w:type="paragraph" w:customStyle="1" w:styleId="FooterBase">
    <w:name w:val="Footer Base"/>
    <w:rsid w:val="00A64661"/>
    <w:pPr>
      <w:jc w:val="center"/>
    </w:pPr>
    <w:rPr>
      <w:rFonts w:ascii="Arial" w:hAnsi="Arial"/>
      <w:color w:val="000000" w:themeColor="text1"/>
    </w:rPr>
  </w:style>
  <w:style w:type="paragraph" w:styleId="Footer">
    <w:name w:val="footer"/>
    <w:basedOn w:val="FooterBase"/>
    <w:link w:val="FooterChar"/>
    <w:rsid w:val="00A64661"/>
    <w:pPr>
      <w:tabs>
        <w:tab w:val="center" w:pos="4153"/>
        <w:tab w:val="right" w:pos="8306"/>
      </w:tabs>
    </w:pPr>
  </w:style>
  <w:style w:type="paragraph" w:styleId="BalloonText">
    <w:name w:val="Balloon Text"/>
    <w:basedOn w:val="Normal"/>
    <w:semiHidden/>
    <w:rsid w:val="00A64661"/>
    <w:rPr>
      <w:rFonts w:ascii="Tahoma" w:hAnsi="Tahoma" w:cs="Tahoma"/>
      <w:sz w:val="16"/>
      <w:szCs w:val="16"/>
    </w:rPr>
  </w:style>
  <w:style w:type="paragraph" w:styleId="Caption">
    <w:name w:val="caption"/>
    <w:basedOn w:val="Normal"/>
    <w:next w:val="Normal"/>
    <w:rsid w:val="00A64661"/>
    <w:rPr>
      <w:b/>
      <w:bCs/>
    </w:rPr>
  </w:style>
  <w:style w:type="character" w:styleId="CommentReference">
    <w:name w:val="annotation reference"/>
    <w:basedOn w:val="DefaultParagraphFont"/>
    <w:semiHidden/>
    <w:rsid w:val="00A64661"/>
    <w:rPr>
      <w:sz w:val="16"/>
      <w:szCs w:val="16"/>
    </w:rPr>
  </w:style>
  <w:style w:type="paragraph" w:styleId="CommentText">
    <w:name w:val="annotation text"/>
    <w:basedOn w:val="Normal"/>
    <w:link w:val="CommentTextChar"/>
    <w:rsid w:val="00A64661"/>
  </w:style>
  <w:style w:type="paragraph" w:styleId="CommentSubject">
    <w:name w:val="annotation subject"/>
    <w:basedOn w:val="CommentText"/>
    <w:next w:val="CommentText"/>
    <w:link w:val="CommentSubjectChar"/>
    <w:semiHidden/>
    <w:rsid w:val="00A64661"/>
    <w:rPr>
      <w:b/>
      <w:bCs/>
    </w:rPr>
  </w:style>
  <w:style w:type="paragraph" w:styleId="DocumentMap">
    <w:name w:val="Document Map"/>
    <w:basedOn w:val="Normal"/>
    <w:link w:val="DocumentMapChar"/>
    <w:semiHidden/>
    <w:rsid w:val="00A64661"/>
    <w:pPr>
      <w:shd w:val="clear" w:color="auto" w:fill="000080"/>
    </w:pPr>
    <w:rPr>
      <w:rFonts w:ascii="Tahoma" w:hAnsi="Tahoma" w:cs="Tahoma"/>
    </w:rPr>
  </w:style>
  <w:style w:type="character" w:styleId="EndnoteReference">
    <w:name w:val="endnote reference"/>
    <w:basedOn w:val="DefaultParagraphFont"/>
    <w:unhideWhenUsed/>
    <w:rsid w:val="00A64661"/>
    <w:rPr>
      <w:vertAlign w:val="superscript"/>
    </w:rPr>
  </w:style>
  <w:style w:type="paragraph" w:styleId="EndnoteText">
    <w:name w:val="endnote text"/>
    <w:basedOn w:val="Normal"/>
    <w:link w:val="EndnoteTextChar"/>
    <w:unhideWhenUsed/>
    <w:rsid w:val="00A64661"/>
  </w:style>
  <w:style w:type="character" w:styleId="FootnoteReference">
    <w:name w:val="footnote reference"/>
    <w:basedOn w:val="DefaultParagraphFont"/>
    <w:rsid w:val="00A64661"/>
    <w:rPr>
      <w:vertAlign w:val="superscript"/>
    </w:rPr>
  </w:style>
  <w:style w:type="paragraph" w:styleId="FootnoteText">
    <w:name w:val="footnote text"/>
    <w:basedOn w:val="Normal"/>
    <w:link w:val="FootnoteTextChar"/>
    <w:rsid w:val="00A64661"/>
    <w:pPr>
      <w:tabs>
        <w:tab w:val="left" w:pos="284"/>
      </w:tabs>
      <w:spacing w:before="80" w:after="0" w:line="240" w:lineRule="auto"/>
      <w:ind w:left="284" w:hanging="284"/>
      <w:contextualSpacing/>
    </w:pPr>
    <w:rPr>
      <w:sz w:val="18"/>
    </w:rPr>
  </w:style>
  <w:style w:type="paragraph" w:styleId="Index1">
    <w:name w:val="index 1"/>
    <w:basedOn w:val="Normal"/>
    <w:next w:val="Normal"/>
    <w:rsid w:val="00A64661"/>
    <w:pPr>
      <w:ind w:left="200" w:hanging="200"/>
    </w:pPr>
  </w:style>
  <w:style w:type="paragraph" w:styleId="Index2">
    <w:name w:val="index 2"/>
    <w:basedOn w:val="Normal"/>
    <w:next w:val="Normal"/>
    <w:rsid w:val="00A64661"/>
    <w:pPr>
      <w:ind w:left="400" w:hanging="200"/>
    </w:pPr>
  </w:style>
  <w:style w:type="paragraph" w:styleId="Index3">
    <w:name w:val="index 3"/>
    <w:basedOn w:val="Normal"/>
    <w:next w:val="Normal"/>
    <w:rsid w:val="00A64661"/>
    <w:pPr>
      <w:ind w:left="600" w:hanging="200"/>
    </w:pPr>
  </w:style>
  <w:style w:type="paragraph" w:styleId="Index4">
    <w:name w:val="index 4"/>
    <w:basedOn w:val="Normal"/>
    <w:next w:val="Normal"/>
    <w:autoRedefine/>
    <w:semiHidden/>
    <w:rsid w:val="00A64661"/>
    <w:pPr>
      <w:ind w:left="800" w:hanging="200"/>
    </w:pPr>
  </w:style>
  <w:style w:type="paragraph" w:styleId="Index5">
    <w:name w:val="index 5"/>
    <w:basedOn w:val="Normal"/>
    <w:next w:val="Normal"/>
    <w:autoRedefine/>
    <w:semiHidden/>
    <w:rsid w:val="00A64661"/>
    <w:pPr>
      <w:ind w:left="1000" w:hanging="200"/>
    </w:pPr>
  </w:style>
  <w:style w:type="paragraph" w:styleId="Index6">
    <w:name w:val="index 6"/>
    <w:basedOn w:val="Normal"/>
    <w:next w:val="Normal"/>
    <w:autoRedefine/>
    <w:semiHidden/>
    <w:rsid w:val="00A64661"/>
    <w:pPr>
      <w:ind w:left="1200" w:hanging="200"/>
    </w:pPr>
  </w:style>
  <w:style w:type="paragraph" w:styleId="Index7">
    <w:name w:val="index 7"/>
    <w:basedOn w:val="Normal"/>
    <w:next w:val="Normal"/>
    <w:autoRedefine/>
    <w:semiHidden/>
    <w:rsid w:val="00A64661"/>
    <w:pPr>
      <w:ind w:left="1400" w:hanging="200"/>
    </w:pPr>
  </w:style>
  <w:style w:type="paragraph" w:styleId="Index8">
    <w:name w:val="index 8"/>
    <w:basedOn w:val="Normal"/>
    <w:next w:val="Normal"/>
    <w:autoRedefine/>
    <w:semiHidden/>
    <w:rsid w:val="00A64661"/>
    <w:pPr>
      <w:ind w:left="1600" w:hanging="200"/>
    </w:pPr>
  </w:style>
  <w:style w:type="paragraph" w:styleId="Index9">
    <w:name w:val="index 9"/>
    <w:basedOn w:val="Normal"/>
    <w:next w:val="Normal"/>
    <w:autoRedefine/>
    <w:semiHidden/>
    <w:rsid w:val="00A64661"/>
    <w:pPr>
      <w:ind w:left="1800" w:hanging="200"/>
    </w:pPr>
  </w:style>
  <w:style w:type="paragraph" w:styleId="IndexHeading">
    <w:name w:val="index heading"/>
    <w:basedOn w:val="Normal"/>
    <w:next w:val="Index1"/>
    <w:rsid w:val="00A64661"/>
    <w:rPr>
      <w:rFonts w:ascii="Arial Bold" w:hAnsi="Arial Bold" w:cs="Arial"/>
      <w:b/>
      <w:bCs/>
      <w:color w:val="002B54"/>
    </w:rPr>
  </w:style>
  <w:style w:type="paragraph" w:styleId="MacroText">
    <w:name w:val="macro"/>
    <w:link w:val="MacroTextChar"/>
    <w:unhideWhenUsed/>
    <w:rsid w:val="00A64661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after="240" w:line="260" w:lineRule="exact"/>
      <w:jc w:val="both"/>
    </w:pPr>
    <w:rPr>
      <w:rFonts w:ascii="Courier New" w:hAnsi="Courier New" w:cs="Courier New"/>
    </w:rPr>
  </w:style>
  <w:style w:type="paragraph" w:styleId="TableofAuthorities">
    <w:name w:val="table of authorities"/>
    <w:basedOn w:val="Normal"/>
    <w:next w:val="Normal"/>
    <w:rsid w:val="00A64661"/>
    <w:pPr>
      <w:ind w:left="200" w:hanging="200"/>
    </w:pPr>
  </w:style>
  <w:style w:type="paragraph" w:styleId="TableofFigures">
    <w:name w:val="table of figures"/>
    <w:basedOn w:val="Normal"/>
    <w:next w:val="Normal"/>
    <w:rsid w:val="00A64661"/>
  </w:style>
  <w:style w:type="paragraph" w:styleId="TOAHeading">
    <w:name w:val="toa heading"/>
    <w:basedOn w:val="Normal"/>
    <w:next w:val="Normal"/>
    <w:rsid w:val="00A64661"/>
    <w:pPr>
      <w:spacing w:before="120"/>
    </w:pPr>
    <w:rPr>
      <w:rFonts w:ascii="Arial" w:hAnsi="Arial" w:cs="Arial"/>
      <w:b/>
      <w:bCs/>
      <w:sz w:val="24"/>
      <w:szCs w:val="24"/>
    </w:rPr>
  </w:style>
  <w:style w:type="paragraph" w:styleId="TOC1">
    <w:name w:val="toc 1"/>
    <w:basedOn w:val="HeaderBase"/>
    <w:next w:val="Normal"/>
    <w:uiPriority w:val="2"/>
    <w:rsid w:val="00A64661"/>
    <w:pPr>
      <w:keepNext/>
      <w:tabs>
        <w:tab w:val="right" w:leader="dot" w:pos="7700"/>
      </w:tabs>
      <w:spacing w:before="240"/>
      <w:ind w:right="851"/>
    </w:pPr>
    <w:rPr>
      <w:rFonts w:ascii="Arial Bold" w:hAnsi="Arial Bold"/>
      <w:b/>
      <w:color w:val="auto"/>
      <w:sz w:val="20"/>
    </w:rPr>
  </w:style>
  <w:style w:type="paragraph" w:styleId="TOC2">
    <w:name w:val="toc 2"/>
    <w:basedOn w:val="HeadingBase"/>
    <w:next w:val="Normal"/>
    <w:uiPriority w:val="2"/>
    <w:rsid w:val="00A64661"/>
    <w:pPr>
      <w:keepNext w:val="0"/>
      <w:tabs>
        <w:tab w:val="left" w:pos="992"/>
        <w:tab w:val="right" w:leader="dot" w:pos="7700"/>
      </w:tabs>
      <w:spacing w:before="60" w:after="60"/>
      <w:ind w:left="851" w:right="851" w:hanging="851"/>
    </w:pPr>
    <w:rPr>
      <w:sz w:val="18"/>
    </w:rPr>
  </w:style>
  <w:style w:type="paragraph" w:styleId="TOC3">
    <w:name w:val="toc 3"/>
    <w:basedOn w:val="HeadingBase"/>
    <w:next w:val="Normal"/>
    <w:uiPriority w:val="2"/>
    <w:unhideWhenUsed/>
    <w:rsid w:val="00A64661"/>
    <w:pPr>
      <w:tabs>
        <w:tab w:val="right" w:leader="dot" w:pos="7700"/>
      </w:tabs>
      <w:spacing w:before="40"/>
      <w:ind w:right="851"/>
    </w:pPr>
    <w:rPr>
      <w:sz w:val="20"/>
    </w:rPr>
  </w:style>
  <w:style w:type="paragraph" w:styleId="TOC4">
    <w:name w:val="toc 4"/>
    <w:basedOn w:val="HeadingBase"/>
    <w:next w:val="Normal"/>
    <w:uiPriority w:val="2"/>
    <w:unhideWhenUsed/>
    <w:rsid w:val="00A64661"/>
    <w:pPr>
      <w:tabs>
        <w:tab w:val="right" w:leader="dot" w:pos="7700"/>
      </w:tabs>
      <w:spacing w:before="40"/>
      <w:ind w:right="851"/>
    </w:pPr>
    <w:rPr>
      <w:sz w:val="20"/>
    </w:rPr>
  </w:style>
  <w:style w:type="paragraph" w:styleId="TOC5">
    <w:name w:val="toc 5"/>
    <w:basedOn w:val="Normal"/>
    <w:next w:val="Normal"/>
    <w:autoRedefine/>
    <w:uiPriority w:val="2"/>
    <w:rsid w:val="00A64661"/>
    <w:pPr>
      <w:tabs>
        <w:tab w:val="left" w:pos="851"/>
        <w:tab w:val="right" w:leader="dot" w:pos="7700"/>
      </w:tabs>
      <w:ind w:left="896" w:hanging="896"/>
    </w:pPr>
    <w:rPr>
      <w:rFonts w:ascii="Arial" w:hAnsi="Arial"/>
      <w:noProof/>
      <w:color w:val="002B54"/>
    </w:rPr>
  </w:style>
  <w:style w:type="paragraph" w:styleId="TOC6">
    <w:name w:val="toc 6"/>
    <w:basedOn w:val="TOC4"/>
    <w:next w:val="Normal"/>
    <w:uiPriority w:val="2"/>
    <w:semiHidden/>
    <w:rsid w:val="00A64661"/>
    <w:pPr>
      <w:tabs>
        <w:tab w:val="left" w:pos="851"/>
      </w:tabs>
      <w:ind w:left="851" w:hanging="851"/>
    </w:pPr>
    <w:rPr>
      <w:color w:val="000000"/>
    </w:rPr>
  </w:style>
  <w:style w:type="paragraph" w:styleId="TOC7">
    <w:name w:val="toc 7"/>
    <w:basedOn w:val="Normal"/>
    <w:next w:val="Normal"/>
    <w:autoRedefine/>
    <w:uiPriority w:val="2"/>
    <w:semiHidden/>
    <w:rsid w:val="00A64661"/>
    <w:pPr>
      <w:ind w:left="1200"/>
    </w:pPr>
  </w:style>
  <w:style w:type="paragraph" w:styleId="TOC8">
    <w:name w:val="toc 8"/>
    <w:basedOn w:val="Normal"/>
    <w:next w:val="Normal"/>
    <w:autoRedefine/>
    <w:uiPriority w:val="2"/>
    <w:semiHidden/>
    <w:rsid w:val="00A64661"/>
    <w:pPr>
      <w:ind w:left="1400"/>
    </w:pPr>
  </w:style>
  <w:style w:type="paragraph" w:styleId="TOC9">
    <w:name w:val="toc 9"/>
    <w:basedOn w:val="Normal"/>
    <w:next w:val="Normal"/>
    <w:autoRedefine/>
    <w:uiPriority w:val="2"/>
    <w:semiHidden/>
    <w:rsid w:val="00A64661"/>
    <w:pPr>
      <w:ind w:left="1600"/>
    </w:pPr>
  </w:style>
  <w:style w:type="paragraph" w:customStyle="1" w:styleId="FileProperties">
    <w:name w:val="File Properties"/>
    <w:basedOn w:val="Normal"/>
    <w:rsid w:val="00A64661"/>
    <w:pPr>
      <w:spacing w:before="0"/>
    </w:pPr>
    <w:rPr>
      <w:i/>
    </w:rPr>
  </w:style>
  <w:style w:type="character" w:styleId="PageNumber">
    <w:name w:val="page number"/>
    <w:basedOn w:val="DefaultParagraphFont"/>
    <w:rsid w:val="00A64661"/>
    <w:rPr>
      <w:rFonts w:ascii="Arial" w:hAnsi="Arial" w:cs="Arial"/>
      <w:color w:val="auto"/>
    </w:rPr>
  </w:style>
  <w:style w:type="character" w:customStyle="1" w:styleId="FramedHeader">
    <w:name w:val="Framed Header"/>
    <w:basedOn w:val="DefaultParagraphFont"/>
    <w:rsid w:val="00A64661"/>
    <w:rPr>
      <w:rFonts w:ascii="Book Antiqua" w:hAnsi="Book Antiqua"/>
      <w:i/>
      <w:dstrike w:val="0"/>
      <w:color w:val="auto"/>
      <w:sz w:val="20"/>
      <w:vertAlign w:val="baseline"/>
    </w:rPr>
  </w:style>
  <w:style w:type="paragraph" w:styleId="NormalIndent">
    <w:name w:val="Normal Indent"/>
    <w:basedOn w:val="Normal"/>
    <w:rsid w:val="00A64661"/>
    <w:pPr>
      <w:ind w:left="567"/>
    </w:pPr>
  </w:style>
  <w:style w:type="paragraph" w:customStyle="1" w:styleId="BlockedQuotation">
    <w:name w:val="Blocked Quotation"/>
    <w:basedOn w:val="Normal"/>
    <w:semiHidden/>
    <w:rsid w:val="00A64661"/>
    <w:pPr>
      <w:ind w:left="567"/>
    </w:pPr>
  </w:style>
  <w:style w:type="paragraph" w:customStyle="1" w:styleId="ChartMainHeading">
    <w:name w:val="Chart Main Heading"/>
    <w:basedOn w:val="ChartHeading"/>
    <w:next w:val="ChartGraphic"/>
    <w:rsid w:val="00A64661"/>
  </w:style>
  <w:style w:type="table" w:styleId="TableGrid">
    <w:name w:val="Table Grid"/>
    <w:basedOn w:val="TableNormal"/>
    <w:rsid w:val="00A64661"/>
    <w:pPr>
      <w:spacing w:after="240" w:line="260" w:lineRule="exact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itle2ndLevel">
    <w:name w:val="Title 2nd Level"/>
    <w:basedOn w:val="Title"/>
    <w:rsid w:val="00A64661"/>
    <w:rPr>
      <w:sz w:val="24"/>
    </w:rPr>
  </w:style>
  <w:style w:type="paragraph" w:customStyle="1" w:styleId="Title3rdLevel">
    <w:name w:val="Title 3rd Level"/>
    <w:basedOn w:val="Normal"/>
    <w:next w:val="Title"/>
    <w:rsid w:val="00A64661"/>
    <w:pPr>
      <w:jc w:val="center"/>
    </w:pPr>
    <w:rPr>
      <w:rFonts w:ascii="Arial" w:hAnsi="Arial"/>
      <w:caps/>
    </w:rPr>
  </w:style>
  <w:style w:type="paragraph" w:customStyle="1" w:styleId="Part">
    <w:name w:val="Part"/>
    <w:basedOn w:val="Title"/>
    <w:next w:val="Normal"/>
    <w:rsid w:val="00A64661"/>
    <w:rPr>
      <w:caps/>
      <w:smallCaps w:val="0"/>
    </w:rPr>
  </w:style>
  <w:style w:type="paragraph" w:customStyle="1" w:styleId="TableHeadingNoTable">
    <w:name w:val="Table Heading No Table"/>
    <w:basedOn w:val="TableHeading"/>
    <w:next w:val="Normal"/>
    <w:rsid w:val="00A64661"/>
    <w:pPr>
      <w:spacing w:after="240"/>
    </w:pPr>
  </w:style>
  <w:style w:type="paragraph" w:customStyle="1" w:styleId="TransmittalAddressee">
    <w:name w:val="Transmittal Addressee"/>
    <w:basedOn w:val="Normal"/>
    <w:rsid w:val="00A64661"/>
    <w:pPr>
      <w:spacing w:before="0" w:after="0"/>
    </w:pPr>
  </w:style>
  <w:style w:type="paragraph" w:customStyle="1" w:styleId="TransmittalStyle1">
    <w:name w:val="Transmittal Style 1"/>
    <w:basedOn w:val="HeadingBase"/>
    <w:rsid w:val="00A64661"/>
    <w:pPr>
      <w:spacing w:after="60"/>
      <w:jc w:val="right"/>
    </w:pPr>
    <w:rPr>
      <w:b/>
      <w:smallCaps/>
    </w:rPr>
  </w:style>
  <w:style w:type="paragraph" w:customStyle="1" w:styleId="TransmittalStyle2">
    <w:name w:val="Transmittal Style 2"/>
    <w:basedOn w:val="HeadingBase"/>
    <w:rsid w:val="00A64661"/>
    <w:pPr>
      <w:spacing w:before="60" w:after="60"/>
      <w:jc w:val="right"/>
    </w:pPr>
    <w:rPr>
      <w:rFonts w:ascii="Helvetica" w:hAnsi="Helvetica"/>
      <w:b/>
      <w:caps/>
      <w:sz w:val="16"/>
    </w:rPr>
  </w:style>
  <w:style w:type="paragraph" w:customStyle="1" w:styleId="UserGuidelevelTOC">
    <w:name w:val="UserGuide level TOC"/>
    <w:basedOn w:val="HeadingBase"/>
    <w:next w:val="Normal"/>
    <w:rsid w:val="00A64661"/>
    <w:pPr>
      <w:spacing w:before="360" w:after="360"/>
    </w:pPr>
    <w:rPr>
      <w:sz w:val="30"/>
    </w:rPr>
  </w:style>
  <w:style w:type="paragraph" w:customStyle="1" w:styleId="TableTextJustified">
    <w:name w:val="Table Text Justified"/>
    <w:basedOn w:val="TableTextBase"/>
    <w:rsid w:val="00A64661"/>
    <w:pPr>
      <w:jc w:val="both"/>
    </w:pPr>
  </w:style>
  <w:style w:type="paragraph" w:customStyle="1" w:styleId="Department">
    <w:name w:val="Department"/>
    <w:basedOn w:val="Normal"/>
    <w:rsid w:val="00A64661"/>
    <w:pPr>
      <w:spacing w:after="0" w:line="240" w:lineRule="auto"/>
      <w:jc w:val="center"/>
    </w:pPr>
    <w:rPr>
      <w:rFonts w:ascii="Arial" w:hAnsi="Arial"/>
      <w:b/>
      <w:sz w:val="52"/>
    </w:rPr>
  </w:style>
  <w:style w:type="paragraph" w:customStyle="1" w:styleId="DepartmentSubtitle">
    <w:name w:val="Department Subtitle"/>
    <w:basedOn w:val="Department"/>
    <w:rsid w:val="00A64661"/>
    <w:rPr>
      <w:sz w:val="44"/>
    </w:rPr>
  </w:style>
  <w:style w:type="character" w:customStyle="1" w:styleId="ExampletextCharChar">
    <w:name w:val="Example text Char Char"/>
    <w:link w:val="Exampletext"/>
    <w:semiHidden/>
    <w:rsid w:val="00A64661"/>
    <w:rPr>
      <w:rFonts w:ascii="Book Antiqua" w:hAnsi="Book Antiqua"/>
      <w:i/>
      <w:color w:val="FF0000"/>
      <w:sz w:val="19"/>
      <w:lang w:val="x-none" w:eastAsia="x-none"/>
    </w:rPr>
  </w:style>
  <w:style w:type="paragraph" w:customStyle="1" w:styleId="Crest">
    <w:name w:val="Crest"/>
    <w:basedOn w:val="Normal"/>
    <w:next w:val="TransmittalStyle1"/>
    <w:semiHidden/>
    <w:rsid w:val="00A64661"/>
    <w:pPr>
      <w:spacing w:after="0" w:line="240" w:lineRule="auto"/>
      <w:jc w:val="center"/>
    </w:pPr>
  </w:style>
  <w:style w:type="character" w:styleId="Hyperlink">
    <w:name w:val="Hyperlink"/>
    <w:basedOn w:val="DefaultParagraphFont"/>
    <w:uiPriority w:val="99"/>
    <w:unhideWhenUsed/>
    <w:rsid w:val="00A64661"/>
    <w:rPr>
      <w:color w:val="auto"/>
      <w:u w:val="single"/>
    </w:rPr>
  </w:style>
  <w:style w:type="paragraph" w:customStyle="1" w:styleId="Heading1noTOC">
    <w:name w:val="Heading 1 no TOC"/>
    <w:basedOn w:val="Heading1"/>
    <w:rsid w:val="00A64661"/>
  </w:style>
  <w:style w:type="paragraph" w:customStyle="1" w:styleId="TableColumnOutgroupHeading">
    <w:name w:val="Table Column Outgroup Heading"/>
    <w:basedOn w:val="Normal"/>
    <w:rsid w:val="00A64661"/>
    <w:pPr>
      <w:spacing w:before="60" w:after="120" w:line="240" w:lineRule="auto"/>
    </w:pPr>
    <w:rPr>
      <w:b/>
      <w:sz w:val="22"/>
    </w:rPr>
  </w:style>
  <w:style w:type="paragraph" w:customStyle="1" w:styleId="TableColumnOutgroupSubheading">
    <w:name w:val="Table Column Outgroup Subheading"/>
    <w:basedOn w:val="Normal"/>
    <w:rsid w:val="00A64661"/>
    <w:pPr>
      <w:spacing w:before="60" w:after="120" w:line="240" w:lineRule="auto"/>
      <w:jc w:val="center"/>
    </w:pPr>
  </w:style>
  <w:style w:type="paragraph" w:customStyle="1" w:styleId="TableTextBullet">
    <w:name w:val="Table Text Bullet"/>
    <w:basedOn w:val="TableTextBase"/>
    <w:rsid w:val="00A64661"/>
    <w:pPr>
      <w:numPr>
        <w:numId w:val="5"/>
      </w:numPr>
    </w:pPr>
  </w:style>
  <w:style w:type="paragraph" w:customStyle="1" w:styleId="Exampletextdash">
    <w:name w:val="Example text dash"/>
    <w:basedOn w:val="Exampletextbullet"/>
    <w:semiHidden/>
    <w:rsid w:val="00A64661"/>
    <w:pPr>
      <w:numPr>
        <w:ilvl w:val="1"/>
      </w:numPr>
    </w:pPr>
  </w:style>
  <w:style w:type="character" w:customStyle="1" w:styleId="HeadingBaseChar">
    <w:name w:val="Heading Base Char"/>
    <w:link w:val="HeadingBase"/>
    <w:rsid w:val="00A64661"/>
    <w:rPr>
      <w:rFonts w:ascii="Arial" w:hAnsi="Arial"/>
      <w:sz w:val="24"/>
    </w:rPr>
  </w:style>
  <w:style w:type="character" w:customStyle="1" w:styleId="TableHeadingChar">
    <w:name w:val="Table Heading Char"/>
    <w:link w:val="TableHeading"/>
    <w:rsid w:val="00A64661"/>
    <w:rPr>
      <w:rFonts w:ascii="Arial" w:hAnsi="Arial"/>
      <w:b/>
    </w:rPr>
  </w:style>
  <w:style w:type="character" w:customStyle="1" w:styleId="TableTextBaseChar">
    <w:name w:val="Table Text Base Char"/>
    <w:link w:val="TableTextBase"/>
    <w:rsid w:val="00A64661"/>
    <w:rPr>
      <w:rFonts w:ascii="Arial" w:hAnsi="Arial"/>
      <w:sz w:val="16"/>
    </w:rPr>
  </w:style>
  <w:style w:type="character" w:customStyle="1" w:styleId="TableTextLeftChar">
    <w:name w:val="Table Text Left Char"/>
    <w:link w:val="TableTextLeft"/>
    <w:rsid w:val="00A64661"/>
    <w:rPr>
      <w:rFonts w:ascii="Arial" w:hAnsi="Arial"/>
      <w:sz w:val="16"/>
    </w:rPr>
  </w:style>
  <w:style w:type="paragraph" w:styleId="ListParagraph">
    <w:name w:val="List Paragraph"/>
    <w:basedOn w:val="Normal"/>
    <w:qFormat/>
    <w:rsid w:val="00A64661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TableTextDash">
    <w:name w:val="Table Text Dash"/>
    <w:basedOn w:val="TableTextBase"/>
    <w:rsid w:val="00A64661"/>
    <w:pPr>
      <w:numPr>
        <w:ilvl w:val="1"/>
        <w:numId w:val="5"/>
      </w:numPr>
    </w:pPr>
  </w:style>
  <w:style w:type="character" w:customStyle="1" w:styleId="ChartandTableFootnoteChar">
    <w:name w:val="Chart and Table Footnote Char"/>
    <w:link w:val="ChartandTableFootnote"/>
    <w:rsid w:val="00A64661"/>
    <w:rPr>
      <w:rFonts w:ascii="Arial" w:hAnsi="Arial"/>
      <w:color w:val="000000"/>
      <w:sz w:val="16"/>
    </w:rPr>
  </w:style>
  <w:style w:type="paragraph" w:customStyle="1" w:styleId="PartHeading">
    <w:name w:val="Part Heading"/>
    <w:basedOn w:val="Title"/>
    <w:next w:val="Normal"/>
    <w:rsid w:val="00A64661"/>
    <w:pPr>
      <w:spacing w:after="480"/>
      <w:outlineLvl w:val="9"/>
    </w:pPr>
    <w:rPr>
      <w:rFonts w:ascii="Arial Bold" w:hAnsi="Arial Bold"/>
      <w:smallCaps w:val="0"/>
    </w:rPr>
  </w:style>
  <w:style w:type="character" w:customStyle="1" w:styleId="BulletChar">
    <w:name w:val="Bullet Char"/>
    <w:link w:val="Bullet"/>
    <w:rsid w:val="00A64661"/>
    <w:rPr>
      <w:rFonts w:ascii="Book Antiqua" w:hAnsi="Book Antiqua"/>
      <w:sz w:val="19"/>
    </w:rPr>
  </w:style>
  <w:style w:type="paragraph" w:customStyle="1" w:styleId="BoxTextBase">
    <w:name w:val="Box Text Base"/>
    <w:basedOn w:val="Normal"/>
    <w:rsid w:val="00A64661"/>
    <w:pPr>
      <w:spacing w:after="120"/>
    </w:pPr>
    <w:rPr>
      <w:color w:val="000000"/>
    </w:rPr>
  </w:style>
  <w:style w:type="paragraph" w:customStyle="1" w:styleId="BoxDash">
    <w:name w:val="Box Dash"/>
    <w:basedOn w:val="Normal"/>
    <w:rsid w:val="00A64661"/>
    <w:pPr>
      <w:numPr>
        <w:ilvl w:val="1"/>
        <w:numId w:val="6"/>
      </w:numPr>
    </w:pPr>
    <w:rPr>
      <w:color w:val="000000"/>
    </w:rPr>
  </w:style>
  <w:style w:type="paragraph" w:customStyle="1" w:styleId="BoxDoubleDot">
    <w:name w:val="Box Double Dot"/>
    <w:basedOn w:val="BoxTextBase"/>
    <w:rsid w:val="00A64661"/>
    <w:pPr>
      <w:numPr>
        <w:ilvl w:val="2"/>
        <w:numId w:val="6"/>
      </w:numPr>
    </w:pPr>
  </w:style>
  <w:style w:type="paragraph" w:customStyle="1" w:styleId="Outcome">
    <w:name w:val="Outcome"/>
    <w:basedOn w:val="Normal"/>
    <w:rsid w:val="00A64661"/>
    <w:pPr>
      <w:spacing w:before="120" w:after="120" w:line="280" w:lineRule="exact"/>
    </w:pPr>
    <w:rPr>
      <w:rFonts w:ascii="Arial" w:hAnsi="Arial" w:cs="Arial"/>
      <w:b/>
    </w:rPr>
  </w:style>
  <w:style w:type="paragraph" w:customStyle="1" w:styleId="ProgramHeading">
    <w:name w:val="Program Heading"/>
    <w:basedOn w:val="HeadingBase"/>
    <w:rsid w:val="00A64661"/>
    <w:pPr>
      <w:pBdr>
        <w:top w:val="single" w:sz="2" w:space="3" w:color="auto"/>
        <w:bottom w:val="single" w:sz="2" w:space="3" w:color="auto"/>
      </w:pBdr>
      <w:shd w:val="clear" w:color="auto" w:fill="E6E6E6"/>
      <w:spacing w:after="120" w:line="280" w:lineRule="exact"/>
    </w:pPr>
    <w:rPr>
      <w:b/>
      <w:sz w:val="20"/>
    </w:rPr>
  </w:style>
  <w:style w:type="paragraph" w:customStyle="1" w:styleId="ProgramHeadingsub">
    <w:name w:val="Program Heading sub"/>
    <w:basedOn w:val="BoxHeading"/>
    <w:rsid w:val="00A64661"/>
  </w:style>
  <w:style w:type="character" w:customStyle="1" w:styleId="Heading3Char">
    <w:name w:val="Heading 3 Char"/>
    <w:basedOn w:val="DefaultParagraphFont"/>
    <w:link w:val="Heading3"/>
    <w:rsid w:val="00A64661"/>
    <w:rPr>
      <w:rFonts w:ascii="Arial Bold" w:hAnsi="Arial Bold"/>
      <w:b/>
      <w:sz w:val="22"/>
    </w:rPr>
  </w:style>
  <w:style w:type="character" w:customStyle="1" w:styleId="CommentTextChar">
    <w:name w:val="Comment Text Char"/>
    <w:basedOn w:val="DefaultParagraphFont"/>
    <w:link w:val="CommentText"/>
    <w:rsid w:val="00A64661"/>
    <w:rPr>
      <w:rFonts w:ascii="Book Antiqua" w:hAnsi="Book Antiqua"/>
      <w:sz w:val="19"/>
    </w:rPr>
  </w:style>
  <w:style w:type="paragraph" w:customStyle="1" w:styleId="ExampleText0">
    <w:name w:val="Example Text"/>
    <w:basedOn w:val="Normal"/>
    <w:semiHidden/>
    <w:rsid w:val="00A64661"/>
    <w:rPr>
      <w:i/>
      <w:color w:val="FF0000"/>
    </w:rPr>
  </w:style>
  <w:style w:type="paragraph" w:styleId="NoSpacing">
    <w:name w:val="No Spacing"/>
    <w:uiPriority w:val="1"/>
    <w:qFormat/>
    <w:rsid w:val="00A64661"/>
    <w:rPr>
      <w:rFonts w:ascii="Book Antiqua" w:hAnsi="Book Antiqua"/>
      <w:sz w:val="19"/>
    </w:rPr>
  </w:style>
  <w:style w:type="character" w:customStyle="1" w:styleId="A5">
    <w:name w:val="A5"/>
    <w:uiPriority w:val="99"/>
    <w:rsid w:val="00A64661"/>
    <w:rPr>
      <w:rFonts w:ascii="Swiss 721 BT" w:hAnsi="Swiss 721 BT" w:cs="Swiss 721 BT" w:hint="default"/>
      <w:color w:val="000000"/>
      <w:sz w:val="20"/>
      <w:szCs w:val="20"/>
    </w:rPr>
  </w:style>
  <w:style w:type="character" w:customStyle="1" w:styleId="HeaderChar">
    <w:name w:val="Header Char"/>
    <w:basedOn w:val="DefaultParagraphFont"/>
    <w:link w:val="Header"/>
    <w:rsid w:val="00A64661"/>
    <w:rPr>
      <w:rFonts w:ascii="Arial" w:hAnsi="Arial"/>
      <w:sz w:val="18"/>
    </w:rPr>
  </w:style>
  <w:style w:type="character" w:styleId="FollowedHyperlink">
    <w:name w:val="FollowedHyperlink"/>
    <w:rsid w:val="00A64661"/>
    <w:rPr>
      <w:color w:val="800080"/>
      <w:u w:val="single"/>
    </w:rPr>
  </w:style>
  <w:style w:type="character" w:customStyle="1" w:styleId="FooterChar">
    <w:name w:val="Footer Char"/>
    <w:basedOn w:val="DefaultParagraphFont"/>
    <w:link w:val="Footer"/>
    <w:rsid w:val="00A64661"/>
    <w:rPr>
      <w:rFonts w:ascii="Arial" w:hAnsi="Arial"/>
      <w:color w:val="000000" w:themeColor="text1"/>
    </w:rPr>
  </w:style>
  <w:style w:type="character" w:styleId="Strong">
    <w:name w:val="Strong"/>
    <w:basedOn w:val="DefaultParagraphFont"/>
    <w:uiPriority w:val="22"/>
    <w:qFormat/>
    <w:rsid w:val="00A64661"/>
    <w:rPr>
      <w:b/>
      <w:bCs/>
    </w:rPr>
  </w:style>
  <w:style w:type="paragraph" w:customStyle="1" w:styleId="Heading2NoTOC">
    <w:name w:val="Heading 2 No TOC"/>
    <w:basedOn w:val="Heading2"/>
    <w:qFormat/>
    <w:rsid w:val="00A64661"/>
    <w:pPr>
      <w:outlineLvl w:val="9"/>
    </w:pPr>
  </w:style>
  <w:style w:type="paragraph" w:customStyle="1" w:styleId="PartHeading-TOC">
    <w:name w:val="Part Heading - TOC"/>
    <w:basedOn w:val="PartHeading"/>
    <w:rsid w:val="00A64661"/>
  </w:style>
  <w:style w:type="paragraph" w:styleId="Revision">
    <w:name w:val="Revision"/>
    <w:hidden/>
    <w:uiPriority w:val="99"/>
    <w:semiHidden/>
    <w:rsid w:val="00A64661"/>
    <w:rPr>
      <w:rFonts w:ascii="Book Antiqua" w:hAnsi="Book Antiqua"/>
    </w:rPr>
  </w:style>
  <w:style w:type="paragraph" w:styleId="NoteHeading">
    <w:name w:val="Note Heading"/>
    <w:basedOn w:val="Normal"/>
    <w:next w:val="Normal"/>
    <w:link w:val="NoteHeadingChar"/>
    <w:rsid w:val="00A64661"/>
  </w:style>
  <w:style w:type="character" w:customStyle="1" w:styleId="NoteHeadingChar">
    <w:name w:val="Note Heading Char"/>
    <w:basedOn w:val="DefaultParagraphFont"/>
    <w:link w:val="NoteHeading"/>
    <w:rsid w:val="00A64661"/>
    <w:rPr>
      <w:rFonts w:ascii="Book Antiqua" w:hAnsi="Book Antiqua"/>
      <w:sz w:val="19"/>
    </w:rPr>
  </w:style>
  <w:style w:type="paragraph" w:customStyle="1" w:styleId="SecurityClassificationHeader">
    <w:name w:val="Security Classification Header"/>
    <w:link w:val="SecurityClassificationHeaderChar"/>
    <w:rsid w:val="00A64661"/>
    <w:pPr>
      <w:spacing w:before="240" w:after="60" w:line="259" w:lineRule="auto"/>
      <w:jc w:val="center"/>
    </w:pPr>
    <w:rPr>
      <w:rFonts w:ascii="Calibri" w:eastAsiaTheme="minorHAnsi" w:hAnsi="Calibri" w:cs="Calibri"/>
      <w:b/>
      <w:caps/>
      <w:color w:val="44546A" w:themeColor="text2"/>
      <w:sz w:val="24"/>
      <w:szCs w:val="22"/>
      <w:lang w:eastAsia="en-US"/>
    </w:rPr>
  </w:style>
  <w:style w:type="character" w:customStyle="1" w:styleId="SecurityClassificationHeaderChar">
    <w:name w:val="Security Classification Header Char"/>
    <w:basedOn w:val="HeaderChar"/>
    <w:link w:val="SecurityClassificationHeader"/>
    <w:rsid w:val="00A64661"/>
    <w:rPr>
      <w:rFonts w:ascii="Calibri" w:eastAsiaTheme="minorHAnsi" w:hAnsi="Calibri" w:cs="Calibri"/>
      <w:b/>
      <w:caps/>
      <w:color w:val="44546A" w:themeColor="text2"/>
      <w:sz w:val="24"/>
      <w:szCs w:val="22"/>
      <w:lang w:eastAsia="en-US"/>
    </w:rPr>
  </w:style>
  <w:style w:type="paragraph" w:customStyle="1" w:styleId="SecurityClassificationFooter">
    <w:name w:val="Security Classification Footer"/>
    <w:link w:val="SecurityClassificationFooterChar"/>
    <w:rsid w:val="00A64661"/>
    <w:pPr>
      <w:spacing w:before="60" w:after="240" w:line="259" w:lineRule="auto"/>
      <w:jc w:val="center"/>
    </w:pPr>
    <w:rPr>
      <w:rFonts w:ascii="Calibri" w:eastAsiaTheme="minorHAnsi" w:hAnsi="Calibri" w:cs="Calibri"/>
      <w:b/>
      <w:caps/>
      <w:color w:val="44546A" w:themeColor="text2"/>
      <w:sz w:val="24"/>
      <w:szCs w:val="22"/>
      <w:lang w:eastAsia="en-US"/>
    </w:rPr>
  </w:style>
  <w:style w:type="character" w:customStyle="1" w:styleId="SecurityClassificationFooterChar">
    <w:name w:val="Security Classification Footer Char"/>
    <w:basedOn w:val="HeaderChar"/>
    <w:link w:val="SecurityClassificationFooter"/>
    <w:rsid w:val="00A64661"/>
    <w:rPr>
      <w:rFonts w:ascii="Calibri" w:eastAsiaTheme="minorHAnsi" w:hAnsi="Calibri" w:cs="Calibri"/>
      <w:b/>
      <w:caps/>
      <w:color w:val="44546A" w:themeColor="text2"/>
      <w:sz w:val="24"/>
      <w:szCs w:val="22"/>
      <w:lang w:eastAsia="en-US"/>
    </w:rPr>
  </w:style>
  <w:style w:type="paragraph" w:customStyle="1" w:styleId="DLMSecurityHeader">
    <w:name w:val="DLM Security Header"/>
    <w:link w:val="DLMSecurityHeaderChar"/>
    <w:rsid w:val="00A64661"/>
    <w:pPr>
      <w:spacing w:before="60" w:after="240" w:line="259" w:lineRule="auto"/>
      <w:jc w:val="center"/>
    </w:pPr>
    <w:rPr>
      <w:rFonts w:ascii="Calibri" w:eastAsiaTheme="minorHAnsi" w:hAnsi="Calibri" w:cs="Calibri"/>
      <w:b/>
      <w:caps/>
      <w:color w:val="44546A" w:themeColor="text2"/>
      <w:sz w:val="24"/>
      <w:szCs w:val="22"/>
      <w:lang w:val="x-none" w:eastAsia="en-US"/>
    </w:rPr>
  </w:style>
  <w:style w:type="character" w:customStyle="1" w:styleId="DLMSecurityHeaderChar">
    <w:name w:val="DLM Security Header Char"/>
    <w:basedOn w:val="HeaderChar"/>
    <w:link w:val="DLMSecurityHeader"/>
    <w:rsid w:val="00A64661"/>
    <w:rPr>
      <w:rFonts w:ascii="Calibri" w:eastAsiaTheme="minorHAnsi" w:hAnsi="Calibri" w:cs="Calibri"/>
      <w:b/>
      <w:caps/>
      <w:color w:val="44546A" w:themeColor="text2"/>
      <w:sz w:val="24"/>
      <w:szCs w:val="22"/>
      <w:lang w:val="x-none" w:eastAsia="en-US"/>
    </w:rPr>
  </w:style>
  <w:style w:type="paragraph" w:customStyle="1" w:styleId="DLMSecurityFooter">
    <w:name w:val="DLM Security Footer"/>
    <w:link w:val="DLMSecurityFooterChar"/>
    <w:rsid w:val="00A64661"/>
    <w:pPr>
      <w:spacing w:before="240" w:after="60" w:line="259" w:lineRule="auto"/>
      <w:jc w:val="center"/>
    </w:pPr>
    <w:rPr>
      <w:rFonts w:ascii="Calibri" w:eastAsiaTheme="minorHAnsi" w:hAnsi="Calibri" w:cs="Calibri"/>
      <w:b/>
      <w:caps/>
      <w:color w:val="44546A" w:themeColor="text2"/>
      <w:sz w:val="24"/>
      <w:szCs w:val="22"/>
      <w:lang w:val="x-none" w:eastAsia="en-US"/>
    </w:rPr>
  </w:style>
  <w:style w:type="character" w:customStyle="1" w:styleId="DLMSecurityFooterChar">
    <w:name w:val="DLM Security Footer Char"/>
    <w:basedOn w:val="HeaderChar"/>
    <w:link w:val="DLMSecurityFooter"/>
    <w:rsid w:val="00A64661"/>
    <w:rPr>
      <w:rFonts w:ascii="Calibri" w:eastAsiaTheme="minorHAnsi" w:hAnsi="Calibri" w:cs="Calibri"/>
      <w:b/>
      <w:caps/>
      <w:color w:val="44546A" w:themeColor="text2"/>
      <w:sz w:val="24"/>
      <w:szCs w:val="22"/>
      <w:lang w:val="x-none" w:eastAsia="en-US"/>
    </w:rPr>
  </w:style>
  <w:style w:type="paragraph" w:customStyle="1" w:styleId="FooterEven">
    <w:name w:val="Footer Even"/>
    <w:basedOn w:val="Footer"/>
    <w:qFormat/>
    <w:rsid w:val="00A64661"/>
    <w:pPr>
      <w:pBdr>
        <w:top w:val="single" w:sz="4" w:space="10" w:color="000000" w:themeColor="text1"/>
      </w:pBdr>
      <w:jc w:val="left"/>
    </w:pPr>
    <w:rPr>
      <w:color w:val="auto"/>
      <w:sz w:val="18"/>
    </w:rPr>
  </w:style>
  <w:style w:type="paragraph" w:customStyle="1" w:styleId="ChartandTableFootnoteAlpha-Bullet">
    <w:name w:val="Chart and Table Footnote Alpha - Bullet"/>
    <w:basedOn w:val="ChartandTableFootnoteAlpha"/>
    <w:rsid w:val="00A64661"/>
    <w:pPr>
      <w:numPr>
        <w:numId w:val="14"/>
      </w:numPr>
      <w:tabs>
        <w:tab w:val="left" w:pos="454"/>
      </w:tabs>
      <w:ind w:left="454" w:hanging="170"/>
    </w:pPr>
    <w:rPr>
      <w:rFonts w:cs="Arial"/>
      <w:szCs w:val="16"/>
    </w:rPr>
  </w:style>
  <w:style w:type="character" w:customStyle="1" w:styleId="Heading9Char">
    <w:name w:val="Heading 9 Char"/>
    <w:basedOn w:val="DefaultParagraphFont"/>
    <w:link w:val="Heading9"/>
    <w:uiPriority w:val="9"/>
    <w:rsid w:val="00A64661"/>
    <w:rPr>
      <w:rFonts w:ascii="Cambria" w:hAnsi="Cambria"/>
      <w:sz w:val="22"/>
      <w:szCs w:val="22"/>
    </w:rPr>
  </w:style>
  <w:style w:type="paragraph" w:customStyle="1" w:styleId="ChartandTableFootnote-Dash">
    <w:name w:val="Chart and Table Footnote - Dash"/>
    <w:basedOn w:val="Normal"/>
    <w:rsid w:val="00A64661"/>
    <w:pPr>
      <w:tabs>
        <w:tab w:val="left" w:pos="680"/>
      </w:tabs>
      <w:spacing w:before="0" w:after="0" w:line="240" w:lineRule="auto"/>
      <w:ind w:left="681" w:hanging="397"/>
    </w:pPr>
    <w:rPr>
      <w:rFonts w:ascii="Arial" w:hAnsi="Arial"/>
      <w:sz w:val="16"/>
    </w:rPr>
  </w:style>
  <w:style w:type="paragraph" w:customStyle="1" w:styleId="FooterOdd">
    <w:name w:val="Footer Odd"/>
    <w:basedOn w:val="Footer"/>
    <w:qFormat/>
    <w:rsid w:val="00A64661"/>
    <w:pPr>
      <w:pBdr>
        <w:top w:val="single" w:sz="4" w:space="10" w:color="000000" w:themeColor="text1"/>
      </w:pBdr>
      <w:jc w:val="right"/>
    </w:pPr>
    <w:rPr>
      <w:sz w:val="18"/>
    </w:rPr>
  </w:style>
  <w:style w:type="paragraph" w:customStyle="1" w:styleId="Box-continuedon">
    <w:name w:val="Box - continued on"/>
    <w:basedOn w:val="Normal"/>
    <w:qFormat/>
    <w:rsid w:val="00A64661"/>
    <w:pPr>
      <w:jc w:val="right"/>
    </w:pPr>
    <w:rPr>
      <w:rFonts w:asciiTheme="majorHAnsi" w:hAnsiTheme="majorHAnsi" w:cstheme="majorHAnsi"/>
      <w:i/>
      <w:iCs/>
      <w:sz w:val="22"/>
      <w:szCs w:val="24"/>
    </w:rPr>
  </w:style>
  <w:style w:type="character" w:customStyle="1" w:styleId="BoxHeading-Continued">
    <w:name w:val="Box Heading - Continued"/>
    <w:uiPriority w:val="1"/>
    <w:qFormat/>
    <w:rsid w:val="00A64661"/>
    <w:rPr>
      <w:sz w:val="22"/>
    </w:rPr>
  </w:style>
  <w:style w:type="character" w:customStyle="1" w:styleId="Heading6Char">
    <w:name w:val="Heading 6 Char"/>
    <w:basedOn w:val="DefaultParagraphFont"/>
    <w:link w:val="Heading6"/>
    <w:rsid w:val="00A64661"/>
    <w:rPr>
      <w:rFonts w:ascii="Arial" w:hAnsi="Arial"/>
      <w:bCs/>
      <w:szCs w:val="22"/>
    </w:rPr>
  </w:style>
  <w:style w:type="paragraph" w:customStyle="1" w:styleId="BoxSubHeading">
    <w:name w:val="Box Sub Heading"/>
    <w:basedOn w:val="Heading6"/>
    <w:rsid w:val="00A64661"/>
    <w:pPr>
      <w:spacing w:before="120" w:after="40"/>
    </w:pPr>
  </w:style>
  <w:style w:type="paragraph" w:customStyle="1" w:styleId="ChartHeading">
    <w:name w:val="Chart Heading"/>
    <w:basedOn w:val="HeadingBase"/>
    <w:next w:val="ChartGraphic"/>
    <w:qFormat/>
    <w:rsid w:val="00A64661"/>
    <w:pPr>
      <w:spacing w:before="120" w:after="20"/>
    </w:pPr>
    <w:rPr>
      <w:b/>
      <w:sz w:val="20"/>
    </w:rPr>
  </w:style>
  <w:style w:type="paragraph" w:customStyle="1" w:styleId="ChartLine">
    <w:name w:val="Chart Line"/>
    <w:basedOn w:val="NoSpacing"/>
    <w:autoRedefine/>
    <w:qFormat/>
    <w:rsid w:val="00A64661"/>
    <w:pPr>
      <w:pBdr>
        <w:bottom w:val="single" w:sz="4" w:space="2" w:color="D0CECE" w:themeColor="background2" w:themeShade="E6"/>
      </w:pBdr>
      <w:spacing w:after="240"/>
    </w:pPr>
    <w:rPr>
      <w:rFonts w:asciiTheme="minorHAnsi" w:hAnsiTheme="minorHAnsi"/>
      <w:noProof/>
      <w:sz w:val="4"/>
      <w:szCs w:val="4"/>
    </w:rPr>
  </w:style>
  <w:style w:type="character" w:customStyle="1" w:styleId="CommentSubjectChar">
    <w:name w:val="Comment Subject Char"/>
    <w:basedOn w:val="CommentTextChar"/>
    <w:link w:val="CommentSubject"/>
    <w:semiHidden/>
    <w:rsid w:val="00A64661"/>
    <w:rPr>
      <w:rFonts w:ascii="Book Antiqua" w:hAnsi="Book Antiqua"/>
      <w:b/>
      <w:bCs/>
      <w:sz w:val="19"/>
    </w:rPr>
  </w:style>
  <w:style w:type="character" w:customStyle="1" w:styleId="DocumentMapChar">
    <w:name w:val="Document Map Char"/>
    <w:basedOn w:val="DefaultParagraphFont"/>
    <w:link w:val="DocumentMap"/>
    <w:semiHidden/>
    <w:rsid w:val="00A64661"/>
    <w:rPr>
      <w:rFonts w:ascii="Tahoma" w:hAnsi="Tahoma" w:cs="Tahoma"/>
      <w:sz w:val="19"/>
      <w:shd w:val="clear" w:color="auto" w:fill="000080"/>
    </w:rPr>
  </w:style>
  <w:style w:type="character" w:customStyle="1" w:styleId="EndnoteTextChar">
    <w:name w:val="Endnote Text Char"/>
    <w:basedOn w:val="DefaultParagraphFont"/>
    <w:link w:val="EndnoteText"/>
    <w:rsid w:val="00A64661"/>
    <w:rPr>
      <w:rFonts w:ascii="Book Antiqua" w:hAnsi="Book Antiqua"/>
      <w:sz w:val="19"/>
    </w:rPr>
  </w:style>
  <w:style w:type="character" w:customStyle="1" w:styleId="FootnoteTextChar">
    <w:name w:val="Footnote Text Char"/>
    <w:basedOn w:val="DefaultParagraphFont"/>
    <w:link w:val="FootnoteText"/>
    <w:rsid w:val="00A64661"/>
    <w:rPr>
      <w:rFonts w:ascii="Book Antiqua" w:hAnsi="Book Antiqua"/>
      <w:sz w:val="18"/>
    </w:rPr>
  </w:style>
  <w:style w:type="character" w:customStyle="1" w:styleId="Heading1Char">
    <w:name w:val="Heading 1 Char"/>
    <w:basedOn w:val="DefaultParagraphFont"/>
    <w:link w:val="Heading1"/>
    <w:rsid w:val="00A64661"/>
    <w:rPr>
      <w:rFonts w:ascii="Arial Bold" w:hAnsi="Arial Bold"/>
      <w:b/>
      <w:kern w:val="34"/>
      <w:sz w:val="36"/>
    </w:rPr>
  </w:style>
  <w:style w:type="character" w:customStyle="1" w:styleId="Heading2Char">
    <w:name w:val="Heading 2 Char"/>
    <w:basedOn w:val="DefaultParagraphFont"/>
    <w:link w:val="Heading2"/>
    <w:rsid w:val="00A64661"/>
    <w:rPr>
      <w:rFonts w:ascii="Arial Bold" w:hAnsi="Arial Bold"/>
      <w:b/>
      <w:sz w:val="26"/>
    </w:rPr>
  </w:style>
  <w:style w:type="paragraph" w:customStyle="1" w:styleId="Heading3noTOC">
    <w:name w:val="Heading 3 no TOC"/>
    <w:basedOn w:val="Heading3"/>
    <w:rsid w:val="00A64661"/>
    <w:pPr>
      <w:outlineLvl w:val="9"/>
    </w:pPr>
  </w:style>
  <w:style w:type="character" w:customStyle="1" w:styleId="Heading4Char">
    <w:name w:val="Heading 4 Char"/>
    <w:basedOn w:val="DefaultParagraphFont"/>
    <w:link w:val="Heading4"/>
    <w:rsid w:val="00A64661"/>
    <w:rPr>
      <w:rFonts w:ascii="Arial Bold" w:hAnsi="Arial Bold"/>
      <w:b/>
    </w:rPr>
  </w:style>
  <w:style w:type="character" w:customStyle="1" w:styleId="Heading5Char">
    <w:name w:val="Heading 5 Char"/>
    <w:basedOn w:val="DefaultParagraphFont"/>
    <w:link w:val="Heading5"/>
    <w:rsid w:val="00A64661"/>
    <w:rPr>
      <w:rFonts w:ascii="Arial" w:hAnsi="Arial"/>
      <w:bCs/>
      <w:i/>
      <w:iCs/>
      <w:szCs w:val="26"/>
    </w:rPr>
  </w:style>
  <w:style w:type="character" w:customStyle="1" w:styleId="Heading7Char">
    <w:name w:val="Heading 7 Char"/>
    <w:basedOn w:val="DefaultParagraphFont"/>
    <w:link w:val="Heading7"/>
    <w:rsid w:val="00A64661"/>
    <w:rPr>
      <w:rFonts w:ascii="Arial" w:hAnsi="Arial"/>
      <w:szCs w:val="24"/>
    </w:rPr>
  </w:style>
  <w:style w:type="character" w:customStyle="1" w:styleId="Heading8Char">
    <w:name w:val="Heading 8 Char"/>
    <w:basedOn w:val="DefaultParagraphFont"/>
    <w:link w:val="Heading8"/>
    <w:rsid w:val="00A64661"/>
    <w:rPr>
      <w:i/>
      <w:iCs/>
      <w:sz w:val="16"/>
      <w:szCs w:val="24"/>
    </w:rPr>
  </w:style>
  <w:style w:type="character" w:customStyle="1" w:styleId="MacroTextChar">
    <w:name w:val="Macro Text Char"/>
    <w:basedOn w:val="DefaultParagraphFont"/>
    <w:link w:val="MacroText"/>
    <w:rsid w:val="00A64661"/>
    <w:rPr>
      <w:rFonts w:ascii="Courier New" w:hAnsi="Courier New" w:cs="Courier New"/>
    </w:rPr>
  </w:style>
  <w:style w:type="paragraph" w:customStyle="1" w:styleId="Statement">
    <w:name w:val="Statement"/>
    <w:basedOn w:val="Normal"/>
    <w:autoRedefine/>
    <w:qFormat/>
    <w:rsid w:val="00A64661"/>
    <w:pPr>
      <w:textboxTightWrap w:val="firstAndLastLine"/>
    </w:pPr>
    <w:rPr>
      <w:rFonts w:cstheme="minorHAnsi"/>
      <w:kern w:val="18"/>
      <w:sz w:val="18"/>
    </w:rPr>
  </w:style>
  <w:style w:type="paragraph" w:customStyle="1" w:styleId="Statement-Bullet">
    <w:name w:val="Statement - Bullet"/>
    <w:basedOn w:val="Bullet"/>
    <w:qFormat/>
    <w:rsid w:val="00A64661"/>
    <w:pPr>
      <w:ind w:left="284" w:hanging="284"/>
    </w:pPr>
  </w:style>
  <w:style w:type="paragraph" w:customStyle="1" w:styleId="TableLine">
    <w:name w:val="Table Line"/>
    <w:basedOn w:val="Normal"/>
    <w:next w:val="Normal"/>
    <w:autoRedefine/>
    <w:rsid w:val="00A64661"/>
    <w:pPr>
      <w:pBdr>
        <w:bottom w:val="single" w:sz="4" w:space="2" w:color="D0CECE" w:themeColor="background2" w:themeShade="E6"/>
      </w:pBdr>
      <w:spacing w:before="0" w:line="240" w:lineRule="auto"/>
    </w:pPr>
    <w:rPr>
      <w:noProof/>
      <w:sz w:val="4"/>
      <w:szCs w:val="4"/>
    </w:rPr>
  </w:style>
  <w:style w:type="paragraph" w:customStyle="1" w:styleId="TPHeading3bold">
    <w:name w:val="TP Heading 3 bold"/>
    <w:basedOn w:val="TPHeading3"/>
    <w:semiHidden/>
    <w:rsid w:val="00A64661"/>
    <w:rPr>
      <w:rFonts w:cs="Arial"/>
      <w:b/>
      <w:sz w:val="22"/>
      <w:szCs w:val="22"/>
    </w:rPr>
  </w:style>
  <w:style w:type="paragraph" w:customStyle="1" w:styleId="TPHEADING3boldspace">
    <w:name w:val="TP HEADING 3 bold space"/>
    <w:basedOn w:val="TPHeading3bold"/>
    <w:semiHidden/>
    <w:rsid w:val="00A64661"/>
    <w:pPr>
      <w:spacing w:after="120"/>
    </w:pPr>
  </w:style>
  <w:style w:type="paragraph" w:customStyle="1" w:styleId="TPHEADING3space">
    <w:name w:val="TP HEADING 3 space"/>
    <w:basedOn w:val="TPHeading3"/>
    <w:semiHidden/>
    <w:rsid w:val="00A64661"/>
    <w:pPr>
      <w:spacing w:before="120" w:after="120"/>
    </w:pPr>
    <w:rPr>
      <w:rFonts w:cs="Arial"/>
      <w:sz w:val="22"/>
      <w:szCs w:val="22"/>
    </w:rPr>
  </w:style>
  <w:style w:type="paragraph" w:customStyle="1" w:styleId="TPHeading4">
    <w:name w:val="TP Heading 4"/>
    <w:basedOn w:val="TPHeading3"/>
    <w:semiHidden/>
    <w:rsid w:val="00A64661"/>
    <w:rPr>
      <w:sz w:val="20"/>
    </w:rPr>
  </w:style>
  <w:style w:type="paragraph" w:customStyle="1" w:styleId="TPHEADING4space">
    <w:name w:val="TP HEADING 4 space"/>
    <w:basedOn w:val="TPHEADING3space"/>
    <w:semiHidden/>
    <w:rsid w:val="00A64661"/>
  </w:style>
  <w:style w:type="paragraph" w:styleId="NormalWeb">
    <w:name w:val="Normal (Web)"/>
    <w:basedOn w:val="Normal"/>
    <w:semiHidden/>
    <w:unhideWhenUsed/>
    <w:rsid w:val="00A64661"/>
    <w:rPr>
      <w:rFonts w:ascii="Times New Roman" w:hAnsi="Times New Roman"/>
      <w:sz w:val="24"/>
      <w:szCs w:val="24"/>
    </w:rPr>
  </w:style>
  <w:style w:type="paragraph" w:styleId="BodyText">
    <w:name w:val="Body Text"/>
    <w:basedOn w:val="Normal"/>
    <w:link w:val="BodyTextChar"/>
    <w:uiPriority w:val="1"/>
    <w:qFormat/>
    <w:rsid w:val="00A64661"/>
    <w:pPr>
      <w:spacing w:before="120" w:after="120" w:line="264" w:lineRule="auto"/>
      <w:ind w:right="272"/>
    </w:pPr>
    <w:rPr>
      <w:rFonts w:ascii="Calibri" w:eastAsia="Cambria" w:hAnsi="Calibri"/>
      <w:sz w:val="22"/>
      <w:szCs w:val="28"/>
      <w:lang w:eastAsia="en-US"/>
    </w:rPr>
  </w:style>
  <w:style w:type="character" w:customStyle="1" w:styleId="BodyTextChar">
    <w:name w:val="Body Text Char"/>
    <w:basedOn w:val="DefaultParagraphFont"/>
    <w:link w:val="BodyText"/>
    <w:uiPriority w:val="1"/>
    <w:rsid w:val="00A64661"/>
    <w:rPr>
      <w:rFonts w:ascii="Calibri" w:eastAsia="Cambria" w:hAnsi="Calibri"/>
      <w:sz w:val="22"/>
      <w:szCs w:val="28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A64661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F627CB"/>
    <w:rPr>
      <w:i/>
      <w:i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26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8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49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85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97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864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17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47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2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01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7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5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38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3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070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142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4123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9896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309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548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744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098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848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546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081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5890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317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1131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113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3695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235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06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459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14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569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603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768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34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39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168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110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495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650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11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280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32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0485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3105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4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4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451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090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111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99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7412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222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1998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118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16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5597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173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61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64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05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817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874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664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700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8831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5562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83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70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0866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055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366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16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014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52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588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650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168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9672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46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519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656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903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7558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30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68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32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53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934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85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08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6581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23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21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736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142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7003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26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241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6201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486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264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67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278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94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83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977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418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1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546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407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983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05771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86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904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794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455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5839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66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2199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146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92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627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02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3463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670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806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8916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433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25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095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458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3230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439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731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982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9146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200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962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00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92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77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056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8019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7754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4765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355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419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RelyOnCSS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2.xml"/><Relationship Id="rId18" Type="http://schemas.openxmlformats.org/officeDocument/2006/relationships/hyperlink" Target="https://www.transparency.gov.au/portfolio-entities-companies/attorney-general-s/office-of-the-director-of-public-prosecutions-cdpp" TargetMode="External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footer" Target="footer4.xml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hyperlink" Target="https://www.cdpp.gov.au/corporate-plan" TargetMode="External"/><Relationship Id="rId25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20" Type="http://schemas.openxmlformats.org/officeDocument/2006/relationships/hyperlink" Target="https://www.transparency.gov.au/portfolio-entities-companies/attorney-general-s/office-of-the-director-of-public-prosecutions-cdpp" TargetMode="Externa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footer" Target="footer5.xml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header" Target="header4.xml"/><Relationship Id="rId10" Type="http://schemas.openxmlformats.org/officeDocument/2006/relationships/footnotes" Target="footnotes.xml"/><Relationship Id="rId19" Type="http://schemas.openxmlformats.org/officeDocument/2006/relationships/hyperlink" Target="https://www.cdpp.gov.au/sites/default/files/CDPP-AnnualReport-2023-24_0.pdf" TargetMode="Externa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ProgramData\Treasury\Workgroup%20Templates\Budget\PBS%20Template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BE477EAFA9E5947967C703B574AF7AC" ma:contentTypeVersion="4" ma:contentTypeDescription="Create a new document." ma:contentTypeScope="" ma:versionID="9feb58022595d430ac85699279db8c71">
  <xsd:schema xmlns:xsd="http://www.w3.org/2001/XMLSchema" xmlns:xs="http://www.w3.org/2001/XMLSchema" xmlns:p="http://schemas.microsoft.com/office/2006/metadata/properties" xmlns:ns2="ff596217-0b02-4768-8c3c-d1b5b85b2a13" targetNamespace="http://schemas.microsoft.com/office/2006/metadata/properties" ma:root="true" ma:fieldsID="c10d6e8a7ea6b924f00ce98ebafbbb2d" ns2:_="">
    <xsd:import namespace="ff596217-0b02-4768-8c3c-d1b5b85b2a1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SearchPropertie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f596217-0b02-4768-8c3c-d1b5b85b2a1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0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LongProperties xmlns="http://schemas.microsoft.com/office/2006/metadata/longProperties">
  <LongProp xmlns="" name="display_urn_x003a_schemas_x002d_microsoft_x002d_com_x003a_office_x003a_office_x0023_SharedWithUsers"><![CDATA[Saywell, David;Ustick, Heather;Shan, Axel;Kim, Marina;Holland, Natalie;Sartore, Louise;Hodge, Cameron;Calcino, Lisa;Navaratnam, Michael;Wade, Josh;Zhang, Penny;Carn, Kelly;Lockhart, Alexandra;Page, Chloe;Everest, Megan;Johnston, Sarah;Truswell, Kylee;Wang, Bo]]></LongProp>
  <LongProp xmlns="" name="SharedWithUsers"><![CDATA[175;#Saywell, David;#217;#Ustick, Heather;#216;#Shan, Axel;#211;#Kim, Marina;#159;#Holland, Natalie;#47;#Sartore, Louise;#210;#Hodge, Cameron;#213;#Calcino, Lisa;#206;#Navaratnam, Michael;#209;#Wade, Josh;#212;#Zhang, Penny;#204;#Carn, Kelly;#215;#Lockhart, Alexandra;#344;#Page, Chloe;#208;#Everest, Megan;#182;#Johnston, Sarah;#214;#Truswell, Kylee;#236;#Wang, Bo]]></LongProp>
</LongProperti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5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BAF83C-52A4-4A80-AFDB-13033D8CA32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ff596217-0b02-4768-8c3c-d1b5b85b2a1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B248BB33-06A4-4A19-90BA-CF8A0D5DB0B9}">
  <ds:schemaRefs>
    <ds:schemaRef ds:uri="http://schemas.microsoft.com/office/2006/metadata/longProperties"/>
    <ds:schemaRef ds:uri=""/>
  </ds:schemaRefs>
</ds:datastoreItem>
</file>

<file path=customXml/itemProps3.xml><?xml version="1.0" encoding="utf-8"?>
<ds:datastoreItem xmlns:ds="http://schemas.openxmlformats.org/officeDocument/2006/customXml" ds:itemID="{CDBC25DD-C713-48E0-93FD-5A73F13C6FDC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E48BD8CB-D9E2-4093-95DE-FAF26398570E}">
  <ds:schemaRefs>
    <ds:schemaRef ds:uri="http://schemas.microsoft.com/sharepoint/v3/contenttype/forms"/>
  </ds:schemaRefs>
</ds:datastoreItem>
</file>

<file path=customXml/itemProps5.xml><?xml version="1.0" encoding="utf-8"?>
<ds:datastoreItem xmlns:ds="http://schemas.openxmlformats.org/officeDocument/2006/customXml" ds:itemID="{25873D9B-7182-4F1D-BF55-5F8FC5C0503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PBS Template.dotx</Template>
  <TotalTime>95</TotalTime>
  <Pages>18</Pages>
  <Words>4736</Words>
  <Characters>27142</Characters>
  <Application>Microsoft Office Word</Application>
  <DocSecurity>0</DocSecurity>
  <Lines>2261</Lines>
  <Paragraphs>1593</Paragraphs>
  <ScaleCrop>false</ScaleCrop>
  <Company/>
  <LinksUpToDate>false</LinksUpToDate>
  <CharactersWithSpaces>30285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Portfolio Budget Statements</dc:title>
  <dc:subject/>
  <dc:creator>Bateup, Rachel</dc:creator>
  <cp:keywords>[SEC=OFFICIAL]</cp:keywords>
  <cp:lastModifiedBy>Steven Rogers</cp:lastModifiedBy>
  <cp:revision>240</cp:revision>
  <cp:lastPrinted>2025-01-20T05:27:00Z</cp:lastPrinted>
  <dcterms:created xsi:type="dcterms:W3CDTF">2025-02-10T03:59:00Z</dcterms:created>
  <dcterms:modified xsi:type="dcterms:W3CDTF">2025-03-25T23:23:00Z</dcterms:modified>
  <cp:category/>
  <cp:contentStatus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0x010100EBE477EAFA9E5947967C703B574AF7AC</vt:lpwstr>
  </property>
  <property fmtid="{D5CDD505-2E9C-101B-9397-08002B2CF9AE}" pid="3" name="TaxKeyword">
    <vt:lpwstr>389;#[SEC=OFFICIAL]|07351cc0-de73-4913-be2f-56f124cbf8bb</vt:lpwstr>
  </property>
  <property fmtid="{D5CDD505-2E9C-101B-9397-08002B2CF9AE}" pid="4" name="AbtEntity">
    <vt:lpwstr>2;#Department of Finance|fd660e8f-8f31-49bd-92a3-d31d4da31afe</vt:lpwstr>
  </property>
  <property fmtid="{D5CDD505-2E9C-101B-9397-08002B2CF9AE}" pid="5" name="InitiatingEntity">
    <vt:lpwstr>2;#Department of Finance|fd660e8f-8f31-49bd-92a3-d31d4da31afe</vt:lpwstr>
  </property>
  <property fmtid="{D5CDD505-2E9C-101B-9397-08002B2CF9AE}" pid="6" name="Function and Activity">
    <vt:lpwstr/>
  </property>
  <property fmtid="{D5CDD505-2E9C-101B-9397-08002B2CF9AE}" pid="7" name="OrgUnit">
    <vt:lpwstr>133;#Performance|0f4dd21a-6494-4313-960a-2dff10e24755</vt:lpwstr>
  </property>
  <property fmtid="{D5CDD505-2E9C-101B-9397-08002B2CF9AE}" pid="8" name="_dlc_DocId">
    <vt:lpwstr>FIN33506-1566835604-279797</vt:lpwstr>
  </property>
  <property fmtid="{D5CDD505-2E9C-101B-9397-08002B2CF9AE}" pid="9" name="_dlc_DocIdUrl">
    <vt:lpwstr>https://financegovau.sharepoint.com/sites/M365_DoF_50033506/_layouts/15/DocIdRedir.aspx?ID=FIN33506-1566835604-279797, FIN33506-1566835604-279797</vt:lpwstr>
  </property>
  <property fmtid="{D5CDD505-2E9C-101B-9397-08002B2CF9AE}" pid="10" name="kb73b3df24114868a21db4ce3ca83710">
    <vt:lpwstr>Department of Finance|fd660e8f-8f31-49bd-92a3-d31d4da31afe</vt:lpwstr>
  </property>
  <property fmtid="{D5CDD505-2E9C-101B-9397-08002B2CF9AE}" pid="11" name="LMName">
    <vt:lpwstr/>
  </property>
  <property fmtid="{D5CDD505-2E9C-101B-9397-08002B2CF9AE}" pid="12" name="LastModDate">
    <vt:lpwstr/>
  </property>
  <property fmtid="{D5CDD505-2E9C-101B-9397-08002B2CF9AE}" pid="13" name="SecClass">
    <vt:lpwstr>OFFICIAL</vt:lpwstr>
  </property>
  <property fmtid="{D5CDD505-2E9C-101B-9397-08002B2CF9AE}" pid="14" name="iee44f6412bf40639855518abb1a08cc">
    <vt:lpwstr>Performance|0f4dd21a-6494-4313-960a-2dff10e24755</vt:lpwstr>
  </property>
  <property fmtid="{D5CDD505-2E9C-101B-9397-08002B2CF9AE}" pid="15" name="k90b8697a98d4606834ec03f7c33303a">
    <vt:lpwstr/>
  </property>
  <property fmtid="{D5CDD505-2E9C-101B-9397-08002B2CF9AE}" pid="16" name="k710d1823c744f64b20abec111d3c509">
    <vt:lpwstr>Department of Finance|fd660e8f-8f31-49bd-92a3-d31d4da31afe</vt:lpwstr>
  </property>
  <property fmtid="{D5CDD505-2E9C-101B-9397-08002B2CF9AE}" pid="17" name="RelatedItems">
    <vt:lpwstr/>
  </property>
  <property fmtid="{D5CDD505-2E9C-101B-9397-08002B2CF9AE}" pid="18" name="EmReceivedByName">
    <vt:lpwstr/>
  </property>
  <property fmtid="{D5CDD505-2E9C-101B-9397-08002B2CF9AE}" pid="19" name="EmImportance">
    <vt:lpwstr/>
  </property>
  <property fmtid="{D5CDD505-2E9C-101B-9397-08002B2CF9AE}" pid="20" name="EmCategory">
    <vt:lpwstr/>
  </property>
  <property fmtid="{D5CDD505-2E9C-101B-9397-08002B2CF9AE}" pid="21" name="EmConversationIndex">
    <vt:lpwstr/>
  </property>
  <property fmtid="{D5CDD505-2E9C-101B-9397-08002B2CF9AE}" pid="22" name="EmBody">
    <vt:lpwstr/>
  </property>
  <property fmtid="{D5CDD505-2E9C-101B-9397-08002B2CF9AE}" pid="23" name="EmHasAttachments">
    <vt:lpwstr/>
  </property>
  <property fmtid="{D5CDD505-2E9C-101B-9397-08002B2CF9AE}" pid="24" name="EmRetentionPolicyName">
    <vt:lpwstr/>
  </property>
  <property fmtid="{D5CDD505-2E9C-101B-9397-08002B2CF9AE}" pid="25" name="EmReplyRecipientNames">
    <vt:lpwstr/>
  </property>
  <property fmtid="{D5CDD505-2E9C-101B-9397-08002B2CF9AE}" pid="26" name="EmReplyRecipients">
    <vt:lpwstr/>
  </property>
  <property fmtid="{D5CDD505-2E9C-101B-9397-08002B2CF9AE}" pid="27" name="EmCC">
    <vt:lpwstr/>
  </property>
  <property fmtid="{D5CDD505-2E9C-101B-9397-08002B2CF9AE}" pid="28" name="EmFromName">
    <vt:lpwstr/>
  </property>
  <property fmtid="{D5CDD505-2E9C-101B-9397-08002B2CF9AE}" pid="29" name="EmCon">
    <vt:lpwstr/>
  </property>
  <property fmtid="{D5CDD505-2E9C-101B-9397-08002B2CF9AE}" pid="30" name="EmDateSent">
    <vt:lpwstr/>
  </property>
  <property fmtid="{D5CDD505-2E9C-101B-9397-08002B2CF9AE}" pid="31" name="EmDateReceived">
    <vt:lpwstr/>
  </property>
  <property fmtid="{D5CDD505-2E9C-101B-9397-08002B2CF9AE}" pid="32" name="EmBCCSMTPAddress">
    <vt:lpwstr/>
  </property>
  <property fmtid="{D5CDD505-2E9C-101B-9397-08002B2CF9AE}" pid="33" name="About Entity">
    <vt:lpwstr>1;#Department of Finance|fd660e8f-8f31-49bd-92a3-d31d4da31afe</vt:lpwstr>
  </property>
  <property fmtid="{D5CDD505-2E9C-101B-9397-08002B2CF9AE}" pid="34" name="EmTo">
    <vt:lpwstr/>
  </property>
  <property fmtid="{D5CDD505-2E9C-101B-9397-08002B2CF9AE}" pid="35" name="EmFrom">
    <vt:lpwstr/>
  </property>
  <property fmtid="{D5CDD505-2E9C-101B-9397-08002B2CF9AE}" pid="36" name="EmAttachmentNames">
    <vt:lpwstr/>
  </property>
  <property fmtid="{D5CDD505-2E9C-101B-9397-08002B2CF9AE}" pid="37" name="EmToSMTPAddress">
    <vt:lpwstr/>
  </property>
  <property fmtid="{D5CDD505-2E9C-101B-9397-08002B2CF9AE}" pid="38" name="EmFromSMTPAddress">
    <vt:lpwstr/>
  </property>
  <property fmtid="{D5CDD505-2E9C-101B-9397-08002B2CF9AE}" pid="39" name="EmSentOnBehalfOfName">
    <vt:lpwstr/>
  </property>
  <property fmtid="{D5CDD505-2E9C-101B-9397-08002B2CF9AE}" pid="40" name="EmCompanies">
    <vt:lpwstr/>
  </property>
  <property fmtid="{D5CDD505-2E9C-101B-9397-08002B2CF9AE}" pid="41" name="Initiating Entity">
    <vt:lpwstr>1;#Department of Finance|fd660e8f-8f31-49bd-92a3-d31d4da31afe</vt:lpwstr>
  </property>
  <property fmtid="{D5CDD505-2E9C-101B-9397-08002B2CF9AE}" pid="42" name="EmSubject">
    <vt:lpwstr/>
  </property>
  <property fmtid="{D5CDD505-2E9C-101B-9397-08002B2CF9AE}" pid="43" name="EmAttachCount">
    <vt:lpwstr/>
  </property>
  <property fmtid="{D5CDD505-2E9C-101B-9397-08002B2CF9AE}" pid="44" name="display_urn:schemas-microsoft-com:office:office#Author">
    <vt:lpwstr>Berry, Alex</vt:lpwstr>
  </property>
  <property fmtid="{D5CDD505-2E9C-101B-9397-08002B2CF9AE}" pid="45" name="EmCCSMTPAddress">
    <vt:lpwstr/>
  </property>
  <property fmtid="{D5CDD505-2E9C-101B-9397-08002B2CF9AE}" pid="46" name="Organisation Unit">
    <vt:lpwstr/>
  </property>
  <property fmtid="{D5CDD505-2E9C-101B-9397-08002B2CF9AE}" pid="47" name="EmConversationID">
    <vt:lpwstr/>
  </property>
  <property fmtid="{D5CDD505-2E9C-101B-9397-08002B2CF9AE}" pid="48" name="EmSensitivity">
    <vt:lpwstr/>
  </property>
  <property fmtid="{D5CDD505-2E9C-101B-9397-08002B2CF9AE}" pid="49" name="EmBCC">
    <vt:lpwstr/>
  </property>
  <property fmtid="{D5CDD505-2E9C-101B-9397-08002B2CF9AE}" pid="50" name="EmDate">
    <vt:lpwstr/>
  </property>
  <property fmtid="{D5CDD505-2E9C-101B-9397-08002B2CF9AE}" pid="51" name="EmID">
    <vt:lpwstr/>
  </property>
  <property fmtid="{D5CDD505-2E9C-101B-9397-08002B2CF9AE}" pid="52" name="EmToAddress">
    <vt:lpwstr/>
  </property>
  <property fmtid="{D5CDD505-2E9C-101B-9397-08002B2CF9AE}" pid="53" name="EmReceivedOnBehalfOfName">
    <vt:lpwstr/>
  </property>
  <property fmtid="{D5CDD505-2E9C-101B-9397-08002B2CF9AE}" pid="54" name="display_urn:schemas-microsoft-com:office:office#Editor">
    <vt:lpwstr>Berry, Alex</vt:lpwstr>
  </property>
  <property fmtid="{D5CDD505-2E9C-101B-9397-08002B2CF9AE}" pid="55" name="RelatedIssues">
    <vt:lpwstr/>
  </property>
  <property fmtid="{D5CDD505-2E9C-101B-9397-08002B2CF9AE}" pid="56" name="PM_ProtectiveMarkingImage_Header">
    <vt:lpwstr>C:\Program Files\Common Files\janusNET Shared\janusSEAL\Images\DocumentSlashBlue.png</vt:lpwstr>
  </property>
  <property fmtid="{D5CDD505-2E9C-101B-9397-08002B2CF9AE}" pid="57" name="PM_Caveats_Count">
    <vt:lpwstr>0</vt:lpwstr>
  </property>
  <property fmtid="{D5CDD505-2E9C-101B-9397-08002B2CF9AE}" pid="58" name="PM_DisplayValueSecClassificationWithQualifier">
    <vt:lpwstr>OFFICIAL</vt:lpwstr>
  </property>
  <property fmtid="{D5CDD505-2E9C-101B-9397-08002B2CF9AE}" pid="59" name="PM_Qualifier">
    <vt:lpwstr/>
  </property>
  <property fmtid="{D5CDD505-2E9C-101B-9397-08002B2CF9AE}" pid="60" name="PM_SecurityClassification">
    <vt:lpwstr>OFFICIAL</vt:lpwstr>
  </property>
  <property fmtid="{D5CDD505-2E9C-101B-9397-08002B2CF9AE}" pid="61" name="PM_InsertionValue">
    <vt:lpwstr>OFFICIAL</vt:lpwstr>
  </property>
  <property fmtid="{D5CDD505-2E9C-101B-9397-08002B2CF9AE}" pid="62" name="PM_Originating_FileId">
    <vt:lpwstr>EA6A3C8571A64656AF64DDAD65F4C07C</vt:lpwstr>
  </property>
  <property fmtid="{D5CDD505-2E9C-101B-9397-08002B2CF9AE}" pid="63" name="PM_ProtectiveMarkingValue_Footer">
    <vt:lpwstr>OFFICIAL</vt:lpwstr>
  </property>
  <property fmtid="{D5CDD505-2E9C-101B-9397-08002B2CF9AE}" pid="64" name="PM_OriginationTimeStamp">
    <vt:lpwstr>2023-03-03T00:43:28Z</vt:lpwstr>
  </property>
  <property fmtid="{D5CDD505-2E9C-101B-9397-08002B2CF9AE}" pid="65" name="PM_ProtectiveMarkingValue_Header">
    <vt:lpwstr>OFFICIAL</vt:lpwstr>
  </property>
  <property fmtid="{D5CDD505-2E9C-101B-9397-08002B2CF9AE}" pid="66" name="PM_ProtectiveMarkingImage_Footer">
    <vt:lpwstr>C:\Program Files\Common Files\janusNET Shared\janusSEAL\Images\DocumentSlashBlue.png</vt:lpwstr>
  </property>
  <property fmtid="{D5CDD505-2E9C-101B-9397-08002B2CF9AE}" pid="67" name="PM_Namespace">
    <vt:lpwstr>gov.au</vt:lpwstr>
  </property>
  <property fmtid="{D5CDD505-2E9C-101B-9397-08002B2CF9AE}" pid="68" name="PM_Version">
    <vt:lpwstr>2018.4</vt:lpwstr>
  </property>
  <property fmtid="{D5CDD505-2E9C-101B-9397-08002B2CF9AE}" pid="69" name="PM_Note">
    <vt:lpwstr/>
  </property>
  <property fmtid="{D5CDD505-2E9C-101B-9397-08002B2CF9AE}" pid="70" name="PM_Markers">
    <vt:lpwstr/>
  </property>
  <property fmtid="{D5CDD505-2E9C-101B-9397-08002B2CF9AE}" pid="71" name="PM_Display">
    <vt:lpwstr>OFFICIAL</vt:lpwstr>
  </property>
  <property fmtid="{D5CDD505-2E9C-101B-9397-08002B2CF9AE}" pid="72" name="PMUuid">
    <vt:lpwstr>v=2022.2;d=gov.au;g=46DD6D7C-8107-577B-BC6E-F348953B2E44</vt:lpwstr>
  </property>
  <property fmtid="{D5CDD505-2E9C-101B-9397-08002B2CF9AE}" pid="73" name="PM_Hash_Version">
    <vt:lpwstr>2022.1</vt:lpwstr>
  </property>
  <property fmtid="{D5CDD505-2E9C-101B-9397-08002B2CF9AE}" pid="74" name="MSIP_Label_87d6481e-ccdd-4ab6-8b26-05a0df5699e7_SetDate">
    <vt:lpwstr>2023-03-03T00:43:28Z</vt:lpwstr>
  </property>
  <property fmtid="{D5CDD505-2E9C-101B-9397-08002B2CF9AE}" pid="75" name="PM_OriginatorDomainName_SHA256">
    <vt:lpwstr>325440F6CA31C4C3BCE4433552DC42928CAAD3E2731ABE35FDE729ECEB763AF0</vt:lpwstr>
  </property>
  <property fmtid="{D5CDD505-2E9C-101B-9397-08002B2CF9AE}" pid="76" name="MSIP_Label_87d6481e-ccdd-4ab6-8b26-05a0df5699e7_Name">
    <vt:lpwstr>OFFICIAL</vt:lpwstr>
  </property>
  <property fmtid="{D5CDD505-2E9C-101B-9397-08002B2CF9AE}" pid="77" name="MSIP_Label_87d6481e-ccdd-4ab6-8b26-05a0df5699e7_SiteId">
    <vt:lpwstr>08954cee-4782-4ff6-9ad5-1997dccef4b0</vt:lpwstr>
  </property>
  <property fmtid="{D5CDD505-2E9C-101B-9397-08002B2CF9AE}" pid="78" name="MSIP_Label_87d6481e-ccdd-4ab6-8b26-05a0df5699e7_Enabled">
    <vt:lpwstr>true</vt:lpwstr>
  </property>
  <property fmtid="{D5CDD505-2E9C-101B-9397-08002B2CF9AE}" pid="79" name="PM_SecurityClassification_Prev">
    <vt:lpwstr>OFFICIAL</vt:lpwstr>
  </property>
  <property fmtid="{D5CDD505-2E9C-101B-9397-08002B2CF9AE}" pid="80" name="PM_Qualifier_Prev">
    <vt:lpwstr/>
  </property>
  <property fmtid="{D5CDD505-2E9C-101B-9397-08002B2CF9AE}" pid="81" name="display_urn:schemas-microsoft-com:office:office#SharedWithUsers">
    <vt:lpwstr>Saywell, David;Ustick, Heather;Shan, Axel;Kim, Marina;Holland, Natalie;Sartore, Louise;Hodge, Cameron;Calcino, Lisa;Navaratnam, Michael;Wade, Josh;Zhang, Penny;Carn, Kelly;Lockhart, Alexandra;Page, Chloe;Everest, Megan;Johnston, Sarah;Truswell, Kylee;Wang</vt:lpwstr>
  </property>
  <property fmtid="{D5CDD505-2E9C-101B-9397-08002B2CF9AE}" pid="82" name="SharedWithUsers">
    <vt:lpwstr>175;#Saywell, David;#217;#Ustick, Heather;#216;#Shan, Axel;#211;#Kim, Marina;#159;#Holland, Natalie;#47;#Sartore, Louise;#210;#Hodge, Cameron;#213;#Calcino, Lisa;#206;#Navaratnam, Michael;#209;#Wade, Josh;#212;#Zhang, Penny;#204;#Carn, Kelly;#215;#Lockhar</vt:lpwstr>
  </property>
  <property fmtid="{D5CDD505-2E9C-101B-9397-08002B2CF9AE}" pid="83" name="MediaServiceImageTags">
    <vt:lpwstr/>
  </property>
  <property fmtid="{D5CDD505-2E9C-101B-9397-08002B2CF9AE}" pid="84" name="MSIP_Label_87d6481e-ccdd-4ab6-8b26-05a0df5699e7_Method">
    <vt:lpwstr>Privileged</vt:lpwstr>
  </property>
  <property fmtid="{D5CDD505-2E9C-101B-9397-08002B2CF9AE}" pid="85" name="MSIP_Label_87d6481e-ccdd-4ab6-8b26-05a0df5699e7_ContentBits">
    <vt:lpwstr>0</vt:lpwstr>
  </property>
  <property fmtid="{D5CDD505-2E9C-101B-9397-08002B2CF9AE}" pid="86" name="PM_Originator_Hash_SHA1">
    <vt:lpwstr>97BF39F8114CDCB805045B7CD6BA4B7965364DC4</vt:lpwstr>
  </property>
  <property fmtid="{D5CDD505-2E9C-101B-9397-08002B2CF9AE}" pid="87" name="PM_OriginatorUserAccountName_SHA256">
    <vt:lpwstr>972D6C7574C6E21F394C8B22D95A3EB90B2E62EBF1BA6CA190FFB94E62D564FA</vt:lpwstr>
  </property>
  <property fmtid="{D5CDD505-2E9C-101B-9397-08002B2CF9AE}" pid="88" name="PM_Hash_Salt_Prev">
    <vt:lpwstr>491E2C2EF3D7A6CB450CE07B55A0F5B0</vt:lpwstr>
  </property>
  <property fmtid="{D5CDD505-2E9C-101B-9397-08002B2CF9AE}" pid="89" name="PM_Hash_Salt">
    <vt:lpwstr>B79D94D9862551BB710BEDC11D7AF38F</vt:lpwstr>
  </property>
  <property fmtid="{D5CDD505-2E9C-101B-9397-08002B2CF9AE}" pid="90" name="PM_Hash_SHA1">
    <vt:lpwstr>C5CA3A3C418D45AADDC4FDDE29A7B49EDF515BBA</vt:lpwstr>
  </property>
  <property fmtid="{D5CDD505-2E9C-101B-9397-08002B2CF9AE}" pid="91" name="PMHMAC">
    <vt:lpwstr>v=2022.1;a=SHA256;h=593C63E70FA9D212BF627D807C86E34AAC1797C3F3443C581CDD1D97033D21BB</vt:lpwstr>
  </property>
  <property fmtid="{D5CDD505-2E9C-101B-9397-08002B2CF9AE}" pid="92" name="MSIP_Label_87d6481e-ccdd-4ab6-8b26-05a0df5699e7_ActionId">
    <vt:lpwstr>9cba5097246e4420b14a9704321d331e</vt:lpwstr>
  </property>
  <property fmtid="{D5CDD505-2E9C-101B-9397-08002B2CF9AE}" pid="93" name="Function_x0020_and_x0020_Activity">
    <vt:lpwstr/>
  </property>
  <property fmtid="{D5CDD505-2E9C-101B-9397-08002B2CF9AE}" pid="94" name="Initiating_x0020_Entity">
    <vt:lpwstr>1;#Department of Finance|fd660e8f-8f31-49bd-92a3-d31d4da31afe</vt:lpwstr>
  </property>
  <property fmtid="{D5CDD505-2E9C-101B-9397-08002B2CF9AE}" pid="95" name="Organisation_x0020_Unit">
    <vt:lpwstr/>
  </property>
  <property fmtid="{D5CDD505-2E9C-101B-9397-08002B2CF9AE}" pid="96" name="About_x0020_Entity">
    <vt:lpwstr>1;#Department of Finance|fd660e8f-8f31-49bd-92a3-d31d4da31afe</vt:lpwstr>
  </property>
  <property fmtid="{D5CDD505-2E9C-101B-9397-08002B2CF9AE}" pid="97" name="MSIP_Label_8c016467-e564-44a9-b184-235c1fe42542_Enabled">
    <vt:lpwstr>true</vt:lpwstr>
  </property>
  <property fmtid="{D5CDD505-2E9C-101B-9397-08002B2CF9AE}" pid="98" name="MSIP_Label_8c016467-e564-44a9-b184-235c1fe42542_SetDate">
    <vt:lpwstr>2025-01-15T05:30:55Z</vt:lpwstr>
  </property>
  <property fmtid="{D5CDD505-2E9C-101B-9397-08002B2CF9AE}" pid="99" name="MSIP_Label_8c016467-e564-44a9-b184-235c1fe42542_Method">
    <vt:lpwstr>Privileged</vt:lpwstr>
  </property>
  <property fmtid="{D5CDD505-2E9C-101B-9397-08002B2CF9AE}" pid="100" name="MSIP_Label_8c016467-e564-44a9-b184-235c1fe42542_Name">
    <vt:lpwstr>P C AM</vt:lpwstr>
  </property>
  <property fmtid="{D5CDD505-2E9C-101B-9397-08002B2CF9AE}" pid="101" name="MSIP_Label_8c016467-e564-44a9-b184-235c1fe42542_SiteId">
    <vt:lpwstr>214f1646-2021-47cc-8397-e3d3a7ba7d9d</vt:lpwstr>
  </property>
  <property fmtid="{D5CDD505-2E9C-101B-9397-08002B2CF9AE}" pid="102" name="MSIP_Label_8c016467-e564-44a9-b184-235c1fe42542_ActionId">
    <vt:lpwstr>5f58f7c8-9859-4beb-a74c-f18d729fa5fc</vt:lpwstr>
  </property>
  <property fmtid="{D5CDD505-2E9C-101B-9397-08002B2CF9AE}" pid="103" name="MSIP_Label_8c016467-e564-44a9-b184-235c1fe42542_ContentBits">
    <vt:lpwstr>0</vt:lpwstr>
  </property>
  <property fmtid="{D5CDD505-2E9C-101B-9397-08002B2CF9AE}" pid="104" name="_dlc_DocIdItemGuid">
    <vt:lpwstr>8d40029c-4313-43fd-a963-308726ac35b2</vt:lpwstr>
  </property>
  <property fmtid="{D5CDD505-2E9C-101B-9397-08002B2CF9AE}" pid="105" name="KnowledgeTopics">
    <vt:lpwstr/>
  </property>
  <property fmtid="{D5CDD505-2E9C-101B-9397-08002B2CF9AE}" pid="106" name="DocumentType">
    <vt:lpwstr/>
  </property>
  <property fmtid="{D5CDD505-2E9C-101B-9397-08002B2CF9AE}" pid="107" name="ResponsibleArea">
    <vt:lpwstr/>
  </property>
  <property fmtid="{D5CDD505-2E9C-101B-9397-08002B2CF9AE}" pid="108" name="Document_x0020_Status">
    <vt:lpwstr/>
  </property>
  <property fmtid="{D5CDD505-2E9C-101B-9397-08002B2CF9AE}" pid="109" name="Document Status">
    <vt:lpwstr/>
  </property>
</Properties>
</file>